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4F3FE" w14:textId="597FE21A" w:rsidR="00615BBD" w:rsidRDefault="00AF7FFE" w:rsidP="00277186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42C78407" wp14:editId="21A5E0AE">
                <wp:extent cx="6667740" cy="719847"/>
                <wp:effectExtent l="0" t="0" r="12700" b="17145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740" cy="719847"/>
                        </a:xfrm>
                        <a:prstGeom prst="rect">
                          <a:avLst/>
                        </a:prstGeom>
                        <a:solidFill>
                          <a:srgbClr val="FFCD00"/>
                        </a:solidFill>
                        <a:ln>
                          <a:solidFill>
                            <a:srgbClr val="BD472A"/>
                          </a:solidFill>
                        </a:ln>
                      </wps:spPr>
                      <wps:txbx>
                        <w:txbxContent>
                          <w:p w14:paraId="753B58AF" w14:textId="71670811" w:rsidR="00D861CB" w:rsidRPr="008225FD" w:rsidRDefault="00364CB5" w:rsidP="00182019">
                            <w:pPr>
                              <w:spacing w:after="0" w:line="240" w:lineRule="auto"/>
                              <w:jc w:val="center"/>
                              <w:rPr>
                                <w:rFonts w:ascii="Antonio" w:hAnsi="Antonio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tonio" w:hAnsi="Antonio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IRB COMPLIANCE MONITORING PROGRAM ANNUAL REPORT 202</w:t>
                            </w:r>
                            <w:r w:rsidR="0086740A">
                              <w:rPr>
                                <w:rFonts w:ascii="Antonio" w:hAnsi="Antonio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C784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25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" fillcolor="#ffcd00" strokecolor="#bd472a">
                <v:textbox>
                  <w:txbxContent>
                    <w:p w14:paraId="753B58AF" w14:textId="71670811" w:rsidR="00D861CB" w:rsidRPr="008225FD" w:rsidRDefault="00364CB5" w:rsidP="00182019">
                      <w:pPr>
                        <w:spacing w:after="0" w:line="240" w:lineRule="auto"/>
                        <w:jc w:val="center"/>
                        <w:rPr>
                          <w:rFonts w:ascii="Antonio" w:hAnsi="Antonio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ntonio" w:hAnsi="Antonio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IRB COMPLIANCE MONITORING PROGRAM ANNUAL REPORT 202</w:t>
                      </w:r>
                      <w:r w:rsidR="0086740A">
                        <w:rPr>
                          <w:rFonts w:ascii="Antonio" w:hAnsi="Antonio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82019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15AD06AA" wp14:editId="3DD618BD">
                <wp:extent cx="5046007" cy="271984"/>
                <wp:effectExtent l="0" t="0" r="8890" b="7620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6007" cy="27198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satMod val="103000"/>
                                <a:lumMod val="102000"/>
                                <a:tint val="94000"/>
                              </a:sysClr>
                            </a:gs>
                            <a:gs pos="50000">
                              <a:sysClr val="windowText" lastClr="000000">
                                <a:satMod val="110000"/>
                                <a:lumMod val="100000"/>
                                <a:shade val="100000"/>
                              </a:sysClr>
                            </a:gs>
                            <a:gs pos="100000">
                              <a:sysClr val="windowText" lastClr="000000">
                                <a:lumMod val="99000"/>
                                <a:satMod val="120000"/>
                                <a:shade val="78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C6306F" w14:textId="3E0649A5" w:rsidR="00D861CB" w:rsidRPr="00AF7FFE" w:rsidRDefault="00D861CB" w:rsidP="00D861CB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AF7FFE">
                              <w:rPr>
                                <w:rFonts w:ascii="Roboto" w:hAnsi="Roboto" w:cs="Arial"/>
                                <w:bCs/>
                                <w:sz w:val="24"/>
                                <w:szCs w:val="24"/>
                              </w:rPr>
                              <w:t xml:space="preserve">Institutional Review Board </w:t>
                            </w:r>
                            <w:r w:rsidR="00182019">
                              <w:rPr>
                                <w:rFonts w:ascii="Roboto" w:hAnsi="Roboto" w:cs="Arial"/>
                                <w:bCs/>
                                <w:sz w:val="24"/>
                                <w:szCs w:val="24"/>
                              </w:rPr>
                              <w:t>and</w:t>
                            </w:r>
                            <w:r w:rsidRPr="00AF7FFE">
                              <w:rPr>
                                <w:rFonts w:ascii="Roboto" w:hAnsi="Roboto" w:cs="Arial"/>
                                <w:bCs/>
                                <w:sz w:val="24"/>
                                <w:szCs w:val="24"/>
                              </w:rPr>
                              <w:t xml:space="preserve"> Human Subjects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AD06AA" id="_x0000_s1027" type="#_x0000_t202" style="width:397.3pt;height:2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" fillcolor="#454545" strokecolor="windowText" strokeweight=".5pt">
                <v:fill color2="black" rotate="t" colors="0 #454545;.5 black;1 black" focus="100%" type="gradient">
                  <o:fill v:ext="view" type="gradientUnscaled"/>
                </v:fill>
                <v:textbox>
                  <w:txbxContent>
                    <w:p w14:paraId="00C6306F" w14:textId="3E0649A5" w:rsidR="00D861CB" w:rsidRPr="00AF7FFE" w:rsidRDefault="00D861CB" w:rsidP="00D861CB">
                      <w:pPr>
                        <w:spacing w:after="0" w:line="240" w:lineRule="auto"/>
                        <w:jc w:val="center"/>
                        <w:rPr>
                          <w:rFonts w:ascii="Roboto" w:hAnsi="Roboto" w:cs="Arial"/>
                          <w:bCs/>
                          <w:sz w:val="24"/>
                          <w:szCs w:val="24"/>
                        </w:rPr>
                      </w:pPr>
                      <w:r w:rsidRPr="00AF7FFE">
                        <w:rPr>
                          <w:rFonts w:ascii="Roboto" w:hAnsi="Roboto" w:cs="Arial"/>
                          <w:bCs/>
                          <w:sz w:val="24"/>
                          <w:szCs w:val="24"/>
                        </w:rPr>
                        <w:t xml:space="preserve">Institutional Review Board </w:t>
                      </w:r>
                      <w:r w:rsidR="00182019">
                        <w:rPr>
                          <w:rFonts w:ascii="Roboto" w:hAnsi="Roboto" w:cs="Arial"/>
                          <w:bCs/>
                          <w:sz w:val="24"/>
                          <w:szCs w:val="24"/>
                        </w:rPr>
                        <w:t>and</w:t>
                      </w:r>
                      <w:r w:rsidRPr="00AF7FFE">
                        <w:rPr>
                          <w:rFonts w:ascii="Roboto" w:hAnsi="Roboto" w:cs="Arial"/>
                          <w:bCs/>
                          <w:sz w:val="24"/>
                          <w:szCs w:val="24"/>
                        </w:rPr>
                        <w:t xml:space="preserve"> Human Subjects Office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C20EB" w:rsidRPr="00192BD1">
        <w:rPr>
          <w:rFonts w:ascii="Arial" w:hAnsi="Arial" w:cs="Arial"/>
        </w:rPr>
        <w:br/>
      </w:r>
    </w:p>
    <w:p w14:paraId="5CD7B04C" w14:textId="77777777" w:rsidR="00C23352" w:rsidRPr="00263CB7" w:rsidRDefault="00C23352" w:rsidP="00C23352">
      <w:pPr>
        <w:pStyle w:val="Default"/>
        <w:rPr>
          <w:rFonts w:ascii="Arial" w:hAnsi="Arial" w:cs="Arial"/>
          <w:b/>
          <w:color w:val="auto"/>
          <w:sz w:val="28"/>
          <w:szCs w:val="28"/>
        </w:rPr>
      </w:pPr>
      <w:r w:rsidRPr="00263CB7">
        <w:rPr>
          <w:rFonts w:ascii="Arial" w:hAnsi="Arial" w:cs="Arial"/>
          <w:b/>
          <w:color w:val="auto"/>
          <w:sz w:val="28"/>
          <w:szCs w:val="28"/>
        </w:rPr>
        <w:t xml:space="preserve">CONTEXT </w:t>
      </w:r>
    </w:p>
    <w:p w14:paraId="59934BA5" w14:textId="77777777" w:rsidR="00C23352" w:rsidRPr="004B1D1E" w:rsidRDefault="00C23352" w:rsidP="00C23352">
      <w:pPr>
        <w:pStyle w:val="Default"/>
        <w:rPr>
          <w:b/>
          <w:color w:val="FF0000"/>
        </w:rPr>
      </w:pPr>
    </w:p>
    <w:p w14:paraId="02C9D256" w14:textId="77777777" w:rsidR="00C23352" w:rsidRPr="00263CB7" w:rsidRDefault="00C23352" w:rsidP="00C23352">
      <w:pPr>
        <w:pStyle w:val="Default"/>
        <w:rPr>
          <w:rFonts w:ascii="Arial" w:hAnsi="Arial" w:cs="Arial"/>
          <w:color w:val="auto"/>
        </w:rPr>
      </w:pPr>
      <w:r w:rsidRPr="00263CB7">
        <w:rPr>
          <w:rFonts w:ascii="Arial" w:hAnsi="Arial" w:cs="Arial"/>
          <w:color w:val="auto"/>
        </w:rPr>
        <w:t xml:space="preserve">The primary goals of the Compliance Program are to:  </w:t>
      </w:r>
    </w:p>
    <w:p w14:paraId="1396D51B" w14:textId="77777777" w:rsidR="00C23352" w:rsidRPr="00263CB7" w:rsidRDefault="00C23352" w:rsidP="00C23352">
      <w:pPr>
        <w:pStyle w:val="Default"/>
        <w:rPr>
          <w:rFonts w:ascii="Arial" w:hAnsi="Arial" w:cs="Arial"/>
          <w:color w:val="auto"/>
        </w:rPr>
      </w:pPr>
    </w:p>
    <w:p w14:paraId="1C7A3891" w14:textId="77777777" w:rsidR="00C23352" w:rsidRPr="00263CB7" w:rsidRDefault="00C23352" w:rsidP="00C23352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263CB7">
        <w:rPr>
          <w:rFonts w:ascii="Arial" w:hAnsi="Arial" w:cs="Arial"/>
          <w:sz w:val="24"/>
          <w:szCs w:val="24"/>
        </w:rPr>
        <w:t>Assess human subjects research for compliance with federal regulations and institutional policies through:</w:t>
      </w:r>
    </w:p>
    <w:p w14:paraId="17D8CF4C" w14:textId="77777777" w:rsidR="00C23352" w:rsidRPr="00263CB7" w:rsidRDefault="00C23352" w:rsidP="00C23352">
      <w:pPr>
        <w:pStyle w:val="ListParagraph"/>
        <w:numPr>
          <w:ilvl w:val="1"/>
          <w:numId w:val="1"/>
        </w:numPr>
        <w:tabs>
          <w:tab w:val="left" w:pos="90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263CB7">
        <w:rPr>
          <w:rFonts w:ascii="Arial" w:hAnsi="Arial" w:cs="Arial"/>
          <w:sz w:val="24"/>
          <w:szCs w:val="24"/>
        </w:rPr>
        <w:t xml:space="preserve">an independent review of the </w:t>
      </w:r>
      <w:proofErr w:type="spellStart"/>
      <w:r w:rsidRPr="00263CB7">
        <w:rPr>
          <w:rFonts w:ascii="Arial" w:hAnsi="Arial" w:cs="Arial"/>
          <w:sz w:val="24"/>
          <w:szCs w:val="24"/>
        </w:rPr>
        <w:t>HawkIRB</w:t>
      </w:r>
      <w:proofErr w:type="spellEnd"/>
      <w:r w:rsidRPr="00263CB7">
        <w:rPr>
          <w:rFonts w:ascii="Arial" w:hAnsi="Arial" w:cs="Arial"/>
          <w:sz w:val="24"/>
          <w:szCs w:val="24"/>
        </w:rPr>
        <w:t xml:space="preserve"> application and associated research </w:t>
      </w:r>
      <w:proofErr w:type="gramStart"/>
      <w:r w:rsidRPr="00263CB7">
        <w:rPr>
          <w:rFonts w:ascii="Arial" w:hAnsi="Arial" w:cs="Arial"/>
          <w:sz w:val="24"/>
          <w:szCs w:val="24"/>
        </w:rPr>
        <w:t>materials;</w:t>
      </w:r>
      <w:proofErr w:type="gramEnd"/>
      <w:r w:rsidRPr="00263CB7">
        <w:rPr>
          <w:rFonts w:ascii="Arial" w:hAnsi="Arial" w:cs="Arial"/>
          <w:sz w:val="24"/>
          <w:szCs w:val="24"/>
        </w:rPr>
        <w:t xml:space="preserve"> </w:t>
      </w:r>
    </w:p>
    <w:p w14:paraId="7395480F" w14:textId="77777777" w:rsidR="00C23352" w:rsidRPr="00263CB7" w:rsidRDefault="00C23352" w:rsidP="00C23352">
      <w:pPr>
        <w:pStyle w:val="ListParagraph"/>
        <w:numPr>
          <w:ilvl w:val="1"/>
          <w:numId w:val="1"/>
        </w:numPr>
        <w:tabs>
          <w:tab w:val="left" w:pos="90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263CB7">
        <w:rPr>
          <w:rFonts w:ascii="Arial" w:hAnsi="Arial" w:cs="Arial"/>
          <w:sz w:val="24"/>
          <w:szCs w:val="24"/>
        </w:rPr>
        <w:t>a personal interview with the Principal Investigator and affiliated research team members, as applicable; and</w:t>
      </w:r>
    </w:p>
    <w:p w14:paraId="40FA6328" w14:textId="77777777" w:rsidR="00C23352" w:rsidRPr="00263CB7" w:rsidRDefault="00C23352" w:rsidP="00C23352">
      <w:pPr>
        <w:pStyle w:val="ListParagraph"/>
        <w:numPr>
          <w:ilvl w:val="1"/>
          <w:numId w:val="1"/>
        </w:numPr>
        <w:tabs>
          <w:tab w:val="left" w:pos="90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263CB7">
        <w:rPr>
          <w:rFonts w:ascii="Arial" w:hAnsi="Arial" w:cs="Arial"/>
          <w:sz w:val="24"/>
          <w:szCs w:val="24"/>
        </w:rPr>
        <w:t>online questionnaires approximating the in-person review.</w:t>
      </w:r>
    </w:p>
    <w:p w14:paraId="60BACB2C" w14:textId="77777777" w:rsidR="00C23352" w:rsidRPr="00263CB7" w:rsidRDefault="00C23352" w:rsidP="00C23352">
      <w:pPr>
        <w:tabs>
          <w:tab w:val="left" w:pos="9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911486C" w14:textId="77777777" w:rsidR="00C23352" w:rsidRPr="00263CB7" w:rsidRDefault="00C23352" w:rsidP="00C23352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263CB7">
        <w:rPr>
          <w:rFonts w:ascii="Arial" w:hAnsi="Arial" w:cs="Arial"/>
          <w:sz w:val="24"/>
          <w:szCs w:val="24"/>
        </w:rPr>
        <w:t xml:space="preserve">Provide researchers one-on-one and group educational opportunities regarding human </w:t>
      </w:r>
      <w:proofErr w:type="gramStart"/>
      <w:r w:rsidRPr="00263CB7">
        <w:rPr>
          <w:rFonts w:ascii="Arial" w:hAnsi="Arial" w:cs="Arial"/>
          <w:sz w:val="24"/>
          <w:szCs w:val="24"/>
        </w:rPr>
        <w:t>subjects</w:t>
      </w:r>
      <w:proofErr w:type="gramEnd"/>
      <w:r w:rsidRPr="00263CB7">
        <w:rPr>
          <w:rFonts w:ascii="Arial" w:hAnsi="Arial" w:cs="Arial"/>
          <w:sz w:val="24"/>
          <w:szCs w:val="24"/>
        </w:rPr>
        <w:t xml:space="preserve"> research; and</w:t>
      </w:r>
    </w:p>
    <w:p w14:paraId="27145797" w14:textId="77777777" w:rsidR="00C23352" w:rsidRPr="00263CB7" w:rsidRDefault="00C23352" w:rsidP="00C23352">
      <w:pPr>
        <w:tabs>
          <w:tab w:val="left" w:pos="9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270F52D" w14:textId="77777777" w:rsidR="00C23352" w:rsidRPr="00263CB7" w:rsidRDefault="00C23352" w:rsidP="00C23352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263CB7">
        <w:rPr>
          <w:rFonts w:ascii="Arial" w:hAnsi="Arial" w:cs="Arial"/>
          <w:sz w:val="24"/>
          <w:szCs w:val="24"/>
        </w:rPr>
        <w:t>Facilitate communication between the IRB/Human Subjects Office and researchers at the University of Iowa.</w:t>
      </w:r>
    </w:p>
    <w:p w14:paraId="527A9776" w14:textId="77777777" w:rsidR="00C23352" w:rsidRPr="00263CB7" w:rsidRDefault="00C23352" w:rsidP="00C23352">
      <w:pPr>
        <w:tabs>
          <w:tab w:val="left" w:pos="9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4117B15" w14:textId="2FC16112" w:rsidR="00C23352" w:rsidRPr="00263CB7" w:rsidRDefault="00C23352" w:rsidP="00C23352">
      <w:pPr>
        <w:tabs>
          <w:tab w:val="left" w:pos="9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63CB7">
        <w:rPr>
          <w:rFonts w:ascii="Arial" w:hAnsi="Arial" w:cs="Arial"/>
          <w:sz w:val="24"/>
          <w:szCs w:val="24"/>
        </w:rPr>
        <w:t xml:space="preserve">The Compliance Program is </w:t>
      </w:r>
      <w:r w:rsidR="00CD1CD3">
        <w:rPr>
          <w:rFonts w:ascii="Arial" w:hAnsi="Arial" w:cs="Arial"/>
          <w:sz w:val="24"/>
          <w:szCs w:val="24"/>
        </w:rPr>
        <w:t xml:space="preserve">currently </w:t>
      </w:r>
      <w:r w:rsidRPr="00263CB7">
        <w:rPr>
          <w:rFonts w:ascii="Arial" w:hAnsi="Arial" w:cs="Arial"/>
          <w:sz w:val="24"/>
          <w:szCs w:val="24"/>
        </w:rPr>
        <w:t xml:space="preserve">staffed by </w:t>
      </w:r>
      <w:r w:rsidR="00CD1CD3">
        <w:rPr>
          <w:rFonts w:ascii="Arial" w:hAnsi="Arial" w:cs="Arial"/>
          <w:sz w:val="24"/>
          <w:szCs w:val="24"/>
        </w:rPr>
        <w:t>the Compliance Manager</w:t>
      </w:r>
      <w:r w:rsidR="00CB7F33">
        <w:rPr>
          <w:rFonts w:ascii="Arial" w:hAnsi="Arial" w:cs="Arial"/>
          <w:sz w:val="24"/>
          <w:szCs w:val="24"/>
        </w:rPr>
        <w:t xml:space="preserve">, </w:t>
      </w:r>
      <w:r w:rsidR="00CD1CD3">
        <w:rPr>
          <w:rFonts w:ascii="Arial" w:hAnsi="Arial" w:cs="Arial"/>
          <w:sz w:val="24"/>
          <w:szCs w:val="24"/>
        </w:rPr>
        <w:t xml:space="preserve">one </w:t>
      </w:r>
      <w:r w:rsidRPr="00263CB7">
        <w:rPr>
          <w:rFonts w:ascii="Arial" w:hAnsi="Arial" w:cs="Arial"/>
          <w:sz w:val="24"/>
          <w:szCs w:val="24"/>
        </w:rPr>
        <w:t xml:space="preserve">full-time </w:t>
      </w:r>
      <w:r w:rsidR="00CD1CD3">
        <w:rPr>
          <w:rFonts w:ascii="Arial" w:hAnsi="Arial" w:cs="Arial"/>
          <w:sz w:val="24"/>
          <w:szCs w:val="24"/>
        </w:rPr>
        <w:t xml:space="preserve">Senior </w:t>
      </w:r>
      <w:r w:rsidRPr="00263CB7">
        <w:rPr>
          <w:rFonts w:ascii="Arial" w:hAnsi="Arial" w:cs="Arial"/>
          <w:sz w:val="24"/>
          <w:szCs w:val="24"/>
        </w:rPr>
        <w:t>IRB Compliance and Education Specialist</w:t>
      </w:r>
      <w:r w:rsidR="00CB7F33">
        <w:rPr>
          <w:rFonts w:ascii="Arial" w:hAnsi="Arial" w:cs="Arial"/>
          <w:sz w:val="24"/>
          <w:szCs w:val="24"/>
        </w:rPr>
        <w:t>, and one full-time IRB Compliance and Education Specialist</w:t>
      </w:r>
      <w:r w:rsidRPr="00263CB7">
        <w:rPr>
          <w:rFonts w:ascii="Arial" w:hAnsi="Arial" w:cs="Arial"/>
          <w:sz w:val="24"/>
          <w:szCs w:val="24"/>
        </w:rPr>
        <w:t xml:space="preserve"> who conduct the reviews and provide information about the educational resources that are provided by the Human Subjects Office. </w:t>
      </w:r>
    </w:p>
    <w:p w14:paraId="6DABC013" w14:textId="77777777" w:rsidR="00C23352" w:rsidRPr="00E756E2" w:rsidRDefault="00C23352" w:rsidP="00C23352">
      <w:pPr>
        <w:pStyle w:val="Default"/>
        <w:ind w:left="720"/>
        <w:rPr>
          <w:color w:val="auto"/>
        </w:rPr>
      </w:pPr>
    </w:p>
    <w:p w14:paraId="70F484DF" w14:textId="77777777" w:rsidR="00C23352" w:rsidRPr="00263CB7" w:rsidRDefault="00C23352" w:rsidP="00C2335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63CB7">
        <w:rPr>
          <w:rFonts w:ascii="Arial" w:hAnsi="Arial" w:cs="Arial"/>
          <w:b/>
          <w:sz w:val="28"/>
          <w:szCs w:val="28"/>
        </w:rPr>
        <w:t>COMPLIANCE PROGRAM STAFF</w:t>
      </w:r>
    </w:p>
    <w:p w14:paraId="6F9A5579" w14:textId="77777777" w:rsidR="00C23352" w:rsidRPr="00087A84" w:rsidRDefault="00C23352" w:rsidP="00C233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CDE38B" w14:textId="06D7DAA3" w:rsidR="00C23352" w:rsidRPr="00CD1CD3" w:rsidRDefault="00C23352" w:rsidP="00C233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D1CD3">
        <w:rPr>
          <w:rFonts w:ascii="Arial" w:hAnsi="Arial" w:cs="Arial"/>
          <w:sz w:val="24"/>
          <w:szCs w:val="24"/>
        </w:rPr>
        <w:t xml:space="preserve">The Compliance Program </w:t>
      </w:r>
      <w:r w:rsidR="00CB7F33">
        <w:rPr>
          <w:rFonts w:ascii="Arial" w:hAnsi="Arial" w:cs="Arial"/>
          <w:sz w:val="24"/>
          <w:szCs w:val="24"/>
        </w:rPr>
        <w:t>team</w:t>
      </w:r>
      <w:r w:rsidRPr="00CD1CD3">
        <w:rPr>
          <w:rFonts w:ascii="Arial" w:hAnsi="Arial" w:cs="Arial"/>
          <w:sz w:val="24"/>
          <w:szCs w:val="24"/>
        </w:rPr>
        <w:t xml:space="preserve"> </w:t>
      </w:r>
      <w:r w:rsidR="00CB7F33">
        <w:rPr>
          <w:rFonts w:ascii="Arial" w:hAnsi="Arial" w:cs="Arial"/>
          <w:sz w:val="24"/>
          <w:szCs w:val="24"/>
        </w:rPr>
        <w:t>expanded to three full-time staff</w:t>
      </w:r>
      <w:r w:rsidRPr="00CD1CD3">
        <w:rPr>
          <w:rFonts w:ascii="Arial" w:hAnsi="Arial" w:cs="Arial"/>
          <w:sz w:val="24"/>
          <w:szCs w:val="24"/>
        </w:rPr>
        <w:t xml:space="preserve"> </w:t>
      </w:r>
      <w:r w:rsidR="00CD1CD3">
        <w:rPr>
          <w:rFonts w:ascii="Arial" w:hAnsi="Arial" w:cs="Arial"/>
          <w:sz w:val="24"/>
          <w:szCs w:val="24"/>
        </w:rPr>
        <w:t>in 202</w:t>
      </w:r>
      <w:r w:rsidR="00CB7F33">
        <w:rPr>
          <w:rFonts w:ascii="Arial" w:hAnsi="Arial" w:cs="Arial"/>
          <w:sz w:val="24"/>
          <w:szCs w:val="24"/>
        </w:rPr>
        <w:t>3</w:t>
      </w:r>
      <w:r w:rsidR="00CD1CD3">
        <w:rPr>
          <w:rFonts w:ascii="Arial" w:hAnsi="Arial" w:cs="Arial"/>
          <w:sz w:val="24"/>
          <w:szCs w:val="24"/>
        </w:rPr>
        <w:t xml:space="preserve">.  </w:t>
      </w:r>
      <w:r w:rsidR="00CB7F33">
        <w:rPr>
          <w:rFonts w:ascii="Arial" w:hAnsi="Arial" w:cs="Arial"/>
          <w:sz w:val="24"/>
          <w:szCs w:val="24"/>
        </w:rPr>
        <w:t>One additional full-time Compliance and Education Specialist joined the program in July 2023</w:t>
      </w:r>
      <w:r w:rsidR="00710213">
        <w:rPr>
          <w:rFonts w:ascii="Arial" w:hAnsi="Arial" w:cs="Arial"/>
          <w:sz w:val="24"/>
          <w:szCs w:val="24"/>
        </w:rPr>
        <w:t xml:space="preserve"> (3A)</w:t>
      </w:r>
      <w:r w:rsidR="00CB7F33">
        <w:rPr>
          <w:rFonts w:ascii="Arial" w:hAnsi="Arial" w:cs="Arial"/>
          <w:sz w:val="24"/>
          <w:szCs w:val="24"/>
        </w:rPr>
        <w:t xml:space="preserve">.  </w:t>
      </w:r>
      <w:r w:rsidR="00F07536">
        <w:rPr>
          <w:rFonts w:ascii="Arial" w:hAnsi="Arial" w:cs="Arial"/>
          <w:sz w:val="24"/>
          <w:szCs w:val="24"/>
        </w:rPr>
        <w:t>The Compliance Manager</w:t>
      </w:r>
      <w:r w:rsidR="00CD1CD3">
        <w:rPr>
          <w:rFonts w:ascii="Arial" w:hAnsi="Arial" w:cs="Arial"/>
          <w:sz w:val="24"/>
          <w:szCs w:val="24"/>
        </w:rPr>
        <w:t xml:space="preserve"> was hired in January 2022</w:t>
      </w:r>
      <w:r w:rsidR="00710213">
        <w:rPr>
          <w:rFonts w:ascii="Arial" w:hAnsi="Arial" w:cs="Arial"/>
          <w:sz w:val="24"/>
          <w:szCs w:val="24"/>
        </w:rPr>
        <w:t xml:space="preserve"> (5A)</w:t>
      </w:r>
      <w:r w:rsidRPr="00CD1CD3">
        <w:rPr>
          <w:rFonts w:ascii="Arial" w:hAnsi="Arial" w:cs="Arial"/>
          <w:sz w:val="24"/>
          <w:szCs w:val="24"/>
        </w:rPr>
        <w:t>.</w:t>
      </w:r>
      <w:r w:rsidR="00CD1CD3">
        <w:rPr>
          <w:rFonts w:ascii="Arial" w:hAnsi="Arial" w:cs="Arial"/>
          <w:sz w:val="24"/>
          <w:szCs w:val="24"/>
        </w:rPr>
        <w:t xml:space="preserve">  </w:t>
      </w:r>
      <w:r w:rsidR="00F07536">
        <w:rPr>
          <w:rFonts w:ascii="Arial" w:hAnsi="Arial" w:cs="Arial"/>
          <w:sz w:val="24"/>
          <w:szCs w:val="24"/>
        </w:rPr>
        <w:t>A</w:t>
      </w:r>
      <w:r w:rsidR="00CD1CD3">
        <w:rPr>
          <w:rFonts w:ascii="Arial" w:hAnsi="Arial" w:cs="Arial"/>
          <w:sz w:val="24"/>
          <w:szCs w:val="24"/>
        </w:rPr>
        <w:t xml:space="preserve"> full-time Senior Compliance and Education Specialist</w:t>
      </w:r>
      <w:r w:rsidR="00F07536">
        <w:rPr>
          <w:rFonts w:ascii="Arial" w:hAnsi="Arial" w:cs="Arial"/>
          <w:sz w:val="24"/>
          <w:szCs w:val="24"/>
        </w:rPr>
        <w:t xml:space="preserve"> joined the team in October 2022</w:t>
      </w:r>
      <w:r w:rsidR="00710213">
        <w:rPr>
          <w:rFonts w:ascii="Arial" w:hAnsi="Arial" w:cs="Arial"/>
          <w:sz w:val="24"/>
          <w:szCs w:val="24"/>
        </w:rPr>
        <w:t xml:space="preserve"> (4A)</w:t>
      </w:r>
      <w:r w:rsidR="00F07536">
        <w:rPr>
          <w:rFonts w:ascii="Arial" w:hAnsi="Arial" w:cs="Arial"/>
          <w:sz w:val="24"/>
          <w:szCs w:val="24"/>
        </w:rPr>
        <w:t>.</w:t>
      </w:r>
      <w:r w:rsidR="00CD1CD3">
        <w:rPr>
          <w:rFonts w:ascii="Arial" w:hAnsi="Arial" w:cs="Arial"/>
          <w:sz w:val="24"/>
          <w:szCs w:val="24"/>
        </w:rPr>
        <w:t xml:space="preserve"> </w:t>
      </w:r>
    </w:p>
    <w:p w14:paraId="0B9F0438" w14:textId="77777777" w:rsidR="00C23352" w:rsidRDefault="00C23352" w:rsidP="00C233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719F13" w14:textId="77777777" w:rsidR="00C23352" w:rsidRPr="00263CB7" w:rsidRDefault="00C23352" w:rsidP="00C2335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63CB7">
        <w:rPr>
          <w:rFonts w:ascii="Arial" w:hAnsi="Arial" w:cs="Arial"/>
          <w:b/>
          <w:sz w:val="28"/>
          <w:szCs w:val="28"/>
        </w:rPr>
        <w:t>COMPLIANCE MONITORING EVENTS</w:t>
      </w:r>
    </w:p>
    <w:p w14:paraId="17F087BA" w14:textId="77777777" w:rsidR="00C23352" w:rsidRDefault="00C23352" w:rsidP="00C233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93ACBC" w14:textId="77777777" w:rsidR="00C23352" w:rsidRPr="00263CB7" w:rsidRDefault="00C23352" w:rsidP="00C233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63CB7">
        <w:rPr>
          <w:rFonts w:ascii="Arial" w:hAnsi="Arial" w:cs="Arial"/>
          <w:sz w:val="24"/>
          <w:szCs w:val="24"/>
        </w:rPr>
        <w:t xml:space="preserve">The IRB Compliance Program conducts several types of pre- and post-approval monitoring of human </w:t>
      </w:r>
      <w:proofErr w:type="gramStart"/>
      <w:r w:rsidRPr="00263CB7">
        <w:rPr>
          <w:rFonts w:ascii="Arial" w:hAnsi="Arial" w:cs="Arial"/>
          <w:sz w:val="24"/>
          <w:szCs w:val="24"/>
        </w:rPr>
        <w:t>subjects</w:t>
      </w:r>
      <w:proofErr w:type="gramEnd"/>
      <w:r w:rsidRPr="00263CB7">
        <w:rPr>
          <w:rFonts w:ascii="Arial" w:hAnsi="Arial" w:cs="Arial"/>
          <w:sz w:val="24"/>
          <w:szCs w:val="24"/>
        </w:rPr>
        <w:t xml:space="preserve"> research.  The following table defines these event types in brief.  Routine audits of IRB-03 studies are conducted by the VA Research Compliance Officer. </w:t>
      </w:r>
    </w:p>
    <w:p w14:paraId="19566AB0" w14:textId="77777777" w:rsidR="00C23352" w:rsidRPr="00263CB7" w:rsidRDefault="00C23352" w:rsidP="00C233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4FCA21" w14:textId="77777777" w:rsidR="00CD1CD3" w:rsidRDefault="00CD1CD3" w:rsidP="00C233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57B5984" w14:textId="77777777" w:rsidR="00CD1CD3" w:rsidRDefault="00CD1CD3" w:rsidP="00C233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778ED75" w14:textId="77777777" w:rsidR="00CD1CD3" w:rsidRDefault="00CD1CD3" w:rsidP="00C233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97097A3" w14:textId="77777777" w:rsidR="00CD1CD3" w:rsidRDefault="00CD1CD3" w:rsidP="00C233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78E6501" w14:textId="77777777" w:rsidR="00CD1CD3" w:rsidRDefault="00CD1CD3" w:rsidP="00C233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34792DE" w14:textId="1F7646FF" w:rsidR="00C23352" w:rsidRPr="00263CB7" w:rsidRDefault="00C23352" w:rsidP="00C2335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63CB7">
        <w:rPr>
          <w:rFonts w:ascii="Arial" w:hAnsi="Arial" w:cs="Arial"/>
          <w:b/>
          <w:sz w:val="24"/>
          <w:szCs w:val="24"/>
        </w:rPr>
        <w:t xml:space="preserve">Table 1: Types of Compliance Monitoring </w:t>
      </w:r>
    </w:p>
    <w:p w14:paraId="0BDA2515" w14:textId="77777777" w:rsidR="00C23352" w:rsidRPr="00263CB7" w:rsidRDefault="00C23352" w:rsidP="00C233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99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8263"/>
      </w:tblGrid>
      <w:tr w:rsidR="00C23352" w:rsidRPr="00263CB7" w14:paraId="66086CC7" w14:textId="77777777" w:rsidTr="00C006FB">
        <w:trPr>
          <w:trHeight w:val="264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4ACD4AF7" w14:textId="77777777" w:rsidR="00C23352" w:rsidRPr="00263CB7" w:rsidRDefault="00C23352" w:rsidP="004B07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sz w:val="24"/>
                <w:szCs w:val="24"/>
              </w:rPr>
              <w:t>Title/Acronym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40C1CDFE" w14:textId="77777777" w:rsidR="00C23352" w:rsidRPr="00263CB7" w:rsidRDefault="00C23352" w:rsidP="004B07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sz w:val="24"/>
                <w:szCs w:val="24"/>
              </w:rPr>
              <w:t>Definition</w:t>
            </w:r>
          </w:p>
        </w:tc>
      </w:tr>
      <w:tr w:rsidR="00C23352" w:rsidRPr="00263CB7" w14:paraId="194ABA69" w14:textId="77777777" w:rsidTr="00C006FB">
        <w:trPr>
          <w:trHeight w:val="264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02AB7" w14:textId="77777777" w:rsidR="00C23352" w:rsidRPr="00263CB7" w:rsidRDefault="00C23352" w:rsidP="004B07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sz w:val="24"/>
                <w:szCs w:val="24"/>
              </w:rPr>
              <w:t>CT.gov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38D91" w14:textId="77777777" w:rsidR="00C23352" w:rsidRPr="00263CB7" w:rsidRDefault="00C23352" w:rsidP="004B07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sz w:val="24"/>
                <w:szCs w:val="24"/>
              </w:rPr>
              <w:t xml:space="preserve">Review of studies in need of assistance and education </w:t>
            </w:r>
            <w:proofErr w:type="gramStart"/>
            <w:r w:rsidRPr="00263CB7">
              <w:rPr>
                <w:rFonts w:ascii="Arial" w:eastAsia="Times New Roman" w:hAnsi="Arial" w:cs="Arial"/>
                <w:sz w:val="24"/>
                <w:szCs w:val="24"/>
              </w:rPr>
              <w:t>in order to</w:t>
            </w:r>
            <w:proofErr w:type="gramEnd"/>
            <w:r w:rsidRPr="00263CB7">
              <w:rPr>
                <w:rFonts w:ascii="Arial" w:eastAsia="Times New Roman" w:hAnsi="Arial" w:cs="Arial"/>
                <w:sz w:val="24"/>
                <w:szCs w:val="24"/>
              </w:rPr>
              <w:t xml:space="preserve"> comply with CT.gov requirements.</w:t>
            </w:r>
          </w:p>
        </w:tc>
      </w:tr>
      <w:tr w:rsidR="00C23352" w:rsidRPr="00263CB7" w14:paraId="0FFA7B7A" w14:textId="77777777" w:rsidTr="00C006FB">
        <w:trPr>
          <w:trHeight w:val="264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E139A" w14:textId="77777777" w:rsidR="00C23352" w:rsidRPr="00263CB7" w:rsidRDefault="00C23352" w:rsidP="004B07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sz w:val="24"/>
                <w:szCs w:val="24"/>
              </w:rPr>
              <w:t>Directed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2E364" w14:textId="77777777" w:rsidR="00C23352" w:rsidRPr="00263CB7" w:rsidRDefault="00C23352" w:rsidP="004B07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sz w:val="24"/>
                <w:szCs w:val="24"/>
              </w:rPr>
              <w:t xml:space="preserve">IRB Chair or Director requests monitoring, usually for a specific reason and to investigate possible non-compliance of researchers. </w:t>
            </w:r>
          </w:p>
        </w:tc>
      </w:tr>
      <w:tr w:rsidR="00C23352" w:rsidRPr="00263CB7" w14:paraId="354B5CA4" w14:textId="77777777" w:rsidTr="00C006FB">
        <w:trPr>
          <w:trHeight w:val="264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FAC73" w14:textId="77777777" w:rsidR="00C23352" w:rsidRPr="00263CB7" w:rsidRDefault="00C23352" w:rsidP="004B07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sz w:val="24"/>
                <w:szCs w:val="24"/>
              </w:rPr>
              <w:t>DoD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762F0" w14:textId="77777777" w:rsidR="00C23352" w:rsidRPr="00263CB7" w:rsidRDefault="00C23352" w:rsidP="004B07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sz w:val="24"/>
                <w:szCs w:val="24"/>
              </w:rPr>
              <w:t>Involves research supported or conducted by the Department of Defense or one of its components.</w:t>
            </w:r>
          </w:p>
        </w:tc>
      </w:tr>
      <w:tr w:rsidR="00C23352" w:rsidRPr="00263CB7" w14:paraId="5DCCA3CE" w14:textId="77777777" w:rsidTr="00C006FB">
        <w:trPr>
          <w:trHeight w:val="264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DD60C" w14:textId="77777777" w:rsidR="00C23352" w:rsidRPr="00263CB7" w:rsidRDefault="00C23352" w:rsidP="004B07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sz w:val="24"/>
                <w:szCs w:val="24"/>
              </w:rPr>
              <w:t>Exempt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9555D" w14:textId="77777777" w:rsidR="00C23352" w:rsidRPr="00263CB7" w:rsidRDefault="00C23352" w:rsidP="004B07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sz w:val="24"/>
                <w:szCs w:val="24"/>
              </w:rPr>
              <w:t>Monitoring of exempt approved studies; conducted via Qualtrics surveys.</w:t>
            </w:r>
          </w:p>
        </w:tc>
      </w:tr>
      <w:tr w:rsidR="00C23352" w:rsidRPr="00263CB7" w14:paraId="06390E47" w14:textId="77777777" w:rsidTr="00C006FB">
        <w:trPr>
          <w:trHeight w:val="264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4F992" w14:textId="77777777" w:rsidR="00C23352" w:rsidRPr="00263CB7" w:rsidRDefault="00C23352" w:rsidP="004B07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sz w:val="24"/>
                <w:szCs w:val="24"/>
              </w:rPr>
              <w:t>FDA/EMA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70073" w14:textId="77777777" w:rsidR="00C23352" w:rsidRPr="00263CB7" w:rsidRDefault="00C23352" w:rsidP="004B07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sz w:val="24"/>
                <w:szCs w:val="24"/>
              </w:rPr>
              <w:t>A monitor attends during a Food &amp; Drug Administration or European Medical Association inspection at UI.</w:t>
            </w:r>
          </w:p>
        </w:tc>
      </w:tr>
      <w:tr w:rsidR="00C23352" w:rsidRPr="00263CB7" w14:paraId="043163D2" w14:textId="77777777" w:rsidTr="00C006FB">
        <w:trPr>
          <w:trHeight w:val="264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56CBE" w14:textId="77777777" w:rsidR="00C23352" w:rsidRPr="00263CB7" w:rsidRDefault="00C23352" w:rsidP="004B07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sz w:val="24"/>
                <w:szCs w:val="24"/>
              </w:rPr>
              <w:t>IND/IDE/HGT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9A2A4" w14:textId="77777777" w:rsidR="00C23352" w:rsidRPr="00263CB7" w:rsidRDefault="00C23352" w:rsidP="004B07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sz w:val="24"/>
                <w:szCs w:val="24"/>
              </w:rPr>
              <w:t>Investigational New Drug/Investigational Device Exemption/Human Gene Transfer</w:t>
            </w:r>
          </w:p>
        </w:tc>
      </w:tr>
      <w:tr w:rsidR="00C23352" w:rsidRPr="00263CB7" w14:paraId="2E1AF58A" w14:textId="77777777" w:rsidTr="00C006FB">
        <w:trPr>
          <w:trHeight w:val="264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F1487" w14:textId="77777777" w:rsidR="00C23352" w:rsidRPr="00263CB7" w:rsidRDefault="00C23352" w:rsidP="004B07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sz w:val="24"/>
                <w:szCs w:val="24"/>
              </w:rPr>
              <w:t>Internal Audit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36373" w14:textId="77777777" w:rsidR="00C23352" w:rsidRPr="00263CB7" w:rsidRDefault="00C23352" w:rsidP="004B07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sz w:val="24"/>
                <w:szCs w:val="24"/>
              </w:rPr>
              <w:t>Audit conducted by UI Internal Audit (not IRB Compliance Program).</w:t>
            </w:r>
          </w:p>
        </w:tc>
      </w:tr>
      <w:tr w:rsidR="00C23352" w:rsidRPr="00263CB7" w14:paraId="34F96C3C" w14:textId="77777777" w:rsidTr="00C006FB">
        <w:trPr>
          <w:trHeight w:val="264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A82E7" w14:textId="77777777" w:rsidR="00C23352" w:rsidRPr="00263CB7" w:rsidRDefault="00C23352" w:rsidP="004B07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sz w:val="24"/>
                <w:szCs w:val="24"/>
              </w:rPr>
              <w:t>PAM &amp; Ed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CB49A" w14:textId="77777777" w:rsidR="00C23352" w:rsidRPr="00263CB7" w:rsidRDefault="00C23352" w:rsidP="004B07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sz w:val="24"/>
                <w:szCs w:val="24"/>
              </w:rPr>
              <w:t xml:space="preserve">Post-Approval Monitoring &amp; Education for open human </w:t>
            </w:r>
            <w:proofErr w:type="gramStart"/>
            <w:r w:rsidRPr="00263CB7">
              <w:rPr>
                <w:rFonts w:ascii="Arial" w:eastAsia="Times New Roman" w:hAnsi="Arial" w:cs="Arial"/>
                <w:sz w:val="24"/>
                <w:szCs w:val="24"/>
              </w:rPr>
              <w:t>subjects</w:t>
            </w:r>
            <w:proofErr w:type="gramEnd"/>
            <w:r w:rsidRPr="00263CB7">
              <w:rPr>
                <w:rFonts w:ascii="Arial" w:eastAsia="Times New Roman" w:hAnsi="Arial" w:cs="Arial"/>
                <w:sz w:val="24"/>
                <w:szCs w:val="24"/>
              </w:rPr>
              <w:t xml:space="preserve"> research at UI.</w:t>
            </w:r>
          </w:p>
        </w:tc>
      </w:tr>
      <w:tr w:rsidR="00C23352" w:rsidRPr="00263CB7" w14:paraId="07D6741B" w14:textId="77777777" w:rsidTr="00C006FB">
        <w:trPr>
          <w:trHeight w:val="264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A100A" w14:textId="77777777" w:rsidR="00C23352" w:rsidRPr="00263CB7" w:rsidRDefault="00C23352" w:rsidP="004B07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sz w:val="24"/>
                <w:szCs w:val="24"/>
              </w:rPr>
              <w:t>PARR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62C19" w14:textId="77777777" w:rsidR="00C23352" w:rsidRPr="00263CB7" w:rsidRDefault="00C23352" w:rsidP="004B07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sz w:val="24"/>
                <w:szCs w:val="24"/>
              </w:rPr>
              <w:t>Post-Approval Responsibilities Review</w:t>
            </w:r>
          </w:p>
        </w:tc>
      </w:tr>
      <w:tr w:rsidR="00C23352" w:rsidRPr="00263CB7" w14:paraId="4DB52BCF" w14:textId="77777777" w:rsidTr="00C006FB">
        <w:trPr>
          <w:trHeight w:val="264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0EC0D" w14:textId="77777777" w:rsidR="00C23352" w:rsidRPr="00263CB7" w:rsidRDefault="00C23352" w:rsidP="004B07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sz w:val="24"/>
                <w:szCs w:val="24"/>
              </w:rPr>
              <w:t>PARR-IDE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C97B7" w14:textId="77777777" w:rsidR="00C23352" w:rsidRPr="00263CB7" w:rsidRDefault="00C23352" w:rsidP="004B07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sz w:val="24"/>
                <w:szCs w:val="24"/>
              </w:rPr>
              <w:t>Post-Approval Responsibilities Review for Investigational Device Exemption</w:t>
            </w:r>
          </w:p>
        </w:tc>
      </w:tr>
      <w:tr w:rsidR="00C23352" w:rsidRPr="00263CB7" w14:paraId="6757387A" w14:textId="77777777" w:rsidTr="00C006FB">
        <w:trPr>
          <w:trHeight w:val="264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E866E" w14:textId="77777777" w:rsidR="00C23352" w:rsidRPr="00263CB7" w:rsidRDefault="00C23352" w:rsidP="004B07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sz w:val="24"/>
                <w:szCs w:val="24"/>
              </w:rPr>
              <w:t>SPI-FA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808D2" w14:textId="77777777" w:rsidR="00C23352" w:rsidRPr="00263CB7" w:rsidRDefault="00C23352" w:rsidP="004B07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sz w:val="24"/>
                <w:szCs w:val="24"/>
              </w:rPr>
              <w:t>Monitoring of studies conducted by a Student Principal Investigator having a Faculty Advisor; conducted via Qualtrics surveys.</w:t>
            </w:r>
          </w:p>
        </w:tc>
      </w:tr>
      <w:tr w:rsidR="00C23352" w:rsidRPr="00263CB7" w14:paraId="2CEF41C9" w14:textId="77777777" w:rsidTr="00C006FB">
        <w:trPr>
          <w:trHeight w:val="264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E9882" w14:textId="77777777" w:rsidR="00C23352" w:rsidRPr="00263CB7" w:rsidRDefault="00C23352" w:rsidP="004B07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sz w:val="24"/>
                <w:szCs w:val="24"/>
              </w:rPr>
              <w:t>Umbrella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D7430" w14:textId="77777777" w:rsidR="00C23352" w:rsidRPr="00263CB7" w:rsidRDefault="00C23352" w:rsidP="004B07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sz w:val="24"/>
                <w:szCs w:val="24"/>
              </w:rPr>
              <w:t>Required monitoring of studies in which a single investigator submits one IRB application to cover multiple sub-studies with a common hypothesis.</w:t>
            </w:r>
          </w:p>
        </w:tc>
      </w:tr>
      <w:tr w:rsidR="00065809" w:rsidRPr="00263CB7" w14:paraId="25C8913B" w14:textId="77777777" w:rsidTr="00C006FB">
        <w:trPr>
          <w:trHeight w:val="264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5706F" w14:textId="6611F7D2" w:rsidR="00065809" w:rsidRPr="00263CB7" w:rsidRDefault="00065809" w:rsidP="004B07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By Request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7432B" w14:textId="2253CD84" w:rsidR="00065809" w:rsidRPr="00263CB7" w:rsidRDefault="00065809" w:rsidP="004B07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 voluntary monitoring visit conducted at the request of a Principal Investigator </w:t>
            </w:r>
          </w:p>
        </w:tc>
      </w:tr>
      <w:tr w:rsidR="007A3C86" w:rsidRPr="00263CB7" w14:paraId="3D0F3C54" w14:textId="77777777" w:rsidTr="00C006FB">
        <w:trPr>
          <w:trHeight w:val="264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54F05" w14:textId="25F4DCA5" w:rsidR="007A3C86" w:rsidRDefault="007A3C86" w:rsidP="004B07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IDHHS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5392C" w14:textId="109BA4F3" w:rsidR="007A3C86" w:rsidRDefault="007A3C86" w:rsidP="004B07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Audit conducted by the Iowa Department of Health and Human Services</w:t>
            </w:r>
          </w:p>
        </w:tc>
      </w:tr>
      <w:tr w:rsidR="00C23352" w:rsidRPr="00263CB7" w14:paraId="0DEF0213" w14:textId="77777777" w:rsidTr="00C006FB">
        <w:trPr>
          <w:trHeight w:val="264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B8885" w14:textId="77777777" w:rsidR="00C23352" w:rsidRPr="00263CB7" w:rsidRDefault="00C23352" w:rsidP="004B07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sz w:val="24"/>
                <w:szCs w:val="24"/>
              </w:rPr>
              <w:t>EPIC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1419D" w14:textId="77777777" w:rsidR="00C23352" w:rsidRPr="00263CB7" w:rsidRDefault="00C23352" w:rsidP="004B07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sz w:val="24"/>
                <w:szCs w:val="24"/>
              </w:rPr>
              <w:t>Monitoring of UIHC EPIC system and studies</w:t>
            </w:r>
          </w:p>
        </w:tc>
      </w:tr>
      <w:tr w:rsidR="00C23352" w:rsidRPr="00263CB7" w14:paraId="4A80BC54" w14:textId="77777777" w:rsidTr="00C006FB">
        <w:trPr>
          <w:trHeight w:val="264"/>
        </w:trPr>
        <w:tc>
          <w:tcPr>
            <w:tcW w:w="99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44CE" w14:textId="77777777" w:rsidR="00C23352" w:rsidRPr="00263CB7" w:rsidRDefault="00C23352" w:rsidP="004B07B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216F6BA1" w14:textId="3D389A24" w:rsidR="00C23352" w:rsidRPr="00263CB7" w:rsidRDefault="00C23352" w:rsidP="004B07B1">
            <w:pPr>
              <w:spacing w:after="0" w:line="240" w:lineRule="auto"/>
              <w:ind w:left="-109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b/>
                <w:sz w:val="24"/>
                <w:szCs w:val="24"/>
              </w:rPr>
              <w:t>Calculation of Percentage of Open Studies Monitored in 20</w:t>
            </w:r>
            <w:r w:rsidR="009E471F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  <w:r w:rsidR="00DF6F09"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</w:tr>
    </w:tbl>
    <w:p w14:paraId="47C5CF3D" w14:textId="650B115B" w:rsidR="00C23352" w:rsidRPr="00263CB7" w:rsidRDefault="00C23352" w:rsidP="00C233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63CB7">
        <w:rPr>
          <w:rFonts w:ascii="Arial" w:hAnsi="Arial" w:cs="Arial"/>
          <w:sz w:val="24"/>
          <w:szCs w:val="24"/>
        </w:rPr>
        <w:t>Total Number of AAHRPP Open Studies as of 12/31/</w:t>
      </w:r>
      <w:r w:rsidR="00B34DF7">
        <w:rPr>
          <w:rFonts w:ascii="Arial" w:hAnsi="Arial" w:cs="Arial"/>
          <w:sz w:val="24"/>
          <w:szCs w:val="24"/>
        </w:rPr>
        <w:t>2</w:t>
      </w:r>
      <w:r w:rsidR="00DF6F09">
        <w:rPr>
          <w:rFonts w:ascii="Arial" w:hAnsi="Arial" w:cs="Arial"/>
          <w:sz w:val="24"/>
          <w:szCs w:val="24"/>
        </w:rPr>
        <w:t>3</w:t>
      </w:r>
      <w:r w:rsidRPr="00263CB7">
        <w:rPr>
          <w:rFonts w:ascii="Arial" w:hAnsi="Arial" w:cs="Arial"/>
          <w:sz w:val="24"/>
          <w:szCs w:val="24"/>
        </w:rPr>
        <w:tab/>
      </w:r>
      <w:r w:rsidRPr="00263CB7">
        <w:rPr>
          <w:rFonts w:ascii="Arial" w:hAnsi="Arial" w:cs="Arial"/>
          <w:sz w:val="24"/>
          <w:szCs w:val="24"/>
        </w:rPr>
        <w:tab/>
      </w:r>
      <w:r w:rsidRPr="00263CB7">
        <w:rPr>
          <w:rFonts w:ascii="Arial" w:hAnsi="Arial" w:cs="Arial"/>
          <w:sz w:val="24"/>
          <w:szCs w:val="24"/>
        </w:rPr>
        <w:tab/>
        <w:t xml:space="preserve"> </w:t>
      </w:r>
      <w:r w:rsidRPr="00263CB7">
        <w:rPr>
          <w:rFonts w:ascii="Arial" w:hAnsi="Arial" w:cs="Arial"/>
          <w:sz w:val="24"/>
          <w:szCs w:val="24"/>
        </w:rPr>
        <w:tab/>
        <w:t xml:space="preserve">            4</w:t>
      </w:r>
      <w:r w:rsidR="009E471F">
        <w:rPr>
          <w:rFonts w:ascii="Arial" w:hAnsi="Arial" w:cs="Arial"/>
          <w:sz w:val="24"/>
          <w:szCs w:val="24"/>
        </w:rPr>
        <w:t>5</w:t>
      </w:r>
      <w:r w:rsidR="00895F12">
        <w:rPr>
          <w:rFonts w:ascii="Arial" w:hAnsi="Arial" w:cs="Arial"/>
          <w:sz w:val="24"/>
          <w:szCs w:val="24"/>
        </w:rPr>
        <w:t>02</w:t>
      </w:r>
      <w:r w:rsidRPr="00263CB7">
        <w:rPr>
          <w:rFonts w:ascii="Arial" w:hAnsi="Arial" w:cs="Arial"/>
          <w:sz w:val="24"/>
          <w:szCs w:val="24"/>
        </w:rPr>
        <w:t xml:space="preserve">  </w:t>
      </w:r>
      <w:r w:rsidRPr="00263CB7">
        <w:rPr>
          <w:rFonts w:ascii="Arial" w:hAnsi="Arial" w:cs="Arial"/>
          <w:sz w:val="24"/>
          <w:szCs w:val="24"/>
        </w:rPr>
        <w:tab/>
        <w:t xml:space="preserve"> </w:t>
      </w:r>
    </w:p>
    <w:p w14:paraId="0AAC2025" w14:textId="77777777" w:rsidR="00C23352" w:rsidRPr="00263CB7" w:rsidRDefault="00C23352" w:rsidP="00C23352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0859DBC6" w14:textId="094D774A" w:rsidR="00C23352" w:rsidRPr="00263CB7" w:rsidRDefault="00C23352" w:rsidP="00C23352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263CB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B2EEC6" wp14:editId="637F17DD">
                <wp:simplePos x="0" y="0"/>
                <wp:positionH relativeFrom="column">
                  <wp:posOffset>3270250</wp:posOffset>
                </wp:positionH>
                <wp:positionV relativeFrom="paragraph">
                  <wp:posOffset>13970</wp:posOffset>
                </wp:positionV>
                <wp:extent cx="3263900" cy="3333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1F597" w14:textId="4329036E" w:rsidR="00C23352" w:rsidRPr="00D16804" w:rsidRDefault="00C23352" w:rsidP="00C23352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845D0">
                              <w:rPr>
                                <w:b/>
                                <w:bCs/>
                              </w:rPr>
                              <w:t xml:space="preserve">= </w:t>
                            </w:r>
                            <w:r w:rsidR="00DF6F09">
                              <w:rPr>
                                <w:b/>
                                <w:bCs/>
                              </w:rPr>
                              <w:t>2.</w:t>
                            </w:r>
                            <w:r w:rsidR="0023603D">
                              <w:rPr>
                                <w:b/>
                                <w:bCs/>
                              </w:rPr>
                              <w:t>3</w:t>
                            </w:r>
                            <w:r w:rsidRPr="0065180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%</w:t>
                            </w:r>
                            <w:r w:rsidRPr="00D1680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of Open Studies Monitored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in 20</w:t>
                            </w:r>
                            <w:r w:rsidR="00407ED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DF6F0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2EEC6" id="_x0000_s1028" type="#_x0000_t202" style="position:absolute;margin-left:257.5pt;margin-top:1.1pt;width:257pt;height:2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" stroked="f">
                <v:textbox>
                  <w:txbxContent>
                    <w:p w14:paraId="78D1F597" w14:textId="4329036E" w:rsidR="00C23352" w:rsidRPr="00D16804" w:rsidRDefault="00C23352" w:rsidP="00C23352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3845D0">
                        <w:rPr>
                          <w:b/>
                          <w:bCs/>
                        </w:rPr>
                        <w:t xml:space="preserve">= </w:t>
                      </w:r>
                      <w:r w:rsidR="00DF6F09">
                        <w:rPr>
                          <w:b/>
                          <w:bCs/>
                        </w:rPr>
                        <w:t>2.</w:t>
                      </w:r>
                      <w:r w:rsidR="0023603D">
                        <w:rPr>
                          <w:b/>
                          <w:bCs/>
                        </w:rPr>
                        <w:t>3</w:t>
                      </w:r>
                      <w:r w:rsidRPr="0065180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%</w:t>
                      </w:r>
                      <w:r w:rsidRPr="00D1680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of Open Studies Monitored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in 20</w:t>
                      </w:r>
                      <w:r w:rsidR="00407ED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2</w:t>
                      </w:r>
                      <w:r w:rsidR="00DF6F09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2404">
        <w:rPr>
          <w:rFonts w:ascii="Arial" w:hAnsi="Arial" w:cs="Arial"/>
          <w:sz w:val="24"/>
          <w:szCs w:val="24"/>
        </w:rPr>
        <w:t>10</w:t>
      </w:r>
      <w:r w:rsidR="0023603D">
        <w:rPr>
          <w:rFonts w:ascii="Arial" w:hAnsi="Arial" w:cs="Arial"/>
          <w:sz w:val="24"/>
          <w:szCs w:val="24"/>
        </w:rPr>
        <w:t>2</w:t>
      </w:r>
      <w:r w:rsidRPr="00263CB7">
        <w:rPr>
          <w:rFonts w:ascii="Arial" w:hAnsi="Arial" w:cs="Arial"/>
          <w:sz w:val="24"/>
          <w:szCs w:val="24"/>
        </w:rPr>
        <w:t xml:space="preserve">      Studies Monitored in 20</w:t>
      </w:r>
      <w:r w:rsidR="009E471F">
        <w:rPr>
          <w:rFonts w:ascii="Arial" w:hAnsi="Arial" w:cs="Arial"/>
          <w:sz w:val="24"/>
          <w:szCs w:val="24"/>
        </w:rPr>
        <w:t>2</w:t>
      </w:r>
      <w:r w:rsidR="00DF6F09">
        <w:rPr>
          <w:rFonts w:ascii="Arial" w:hAnsi="Arial" w:cs="Arial"/>
          <w:sz w:val="24"/>
          <w:szCs w:val="24"/>
        </w:rPr>
        <w:t>3</w:t>
      </w:r>
    </w:p>
    <w:p w14:paraId="7A50F479" w14:textId="2813225A" w:rsidR="00C23352" w:rsidRPr="00263CB7" w:rsidRDefault="00C23352" w:rsidP="00C23352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263CB7">
        <w:rPr>
          <w:rFonts w:ascii="Arial" w:hAnsi="Arial" w:cs="Arial"/>
          <w:sz w:val="24"/>
          <w:szCs w:val="24"/>
        </w:rPr>
        <w:t>4</w:t>
      </w:r>
      <w:r w:rsidR="009E471F">
        <w:rPr>
          <w:rFonts w:ascii="Arial" w:hAnsi="Arial" w:cs="Arial"/>
          <w:sz w:val="24"/>
          <w:szCs w:val="24"/>
        </w:rPr>
        <w:t>5</w:t>
      </w:r>
      <w:r w:rsidR="00895F12">
        <w:rPr>
          <w:rFonts w:ascii="Arial" w:hAnsi="Arial" w:cs="Arial"/>
          <w:sz w:val="24"/>
          <w:szCs w:val="24"/>
        </w:rPr>
        <w:t>02</w:t>
      </w:r>
      <w:r w:rsidRPr="00263CB7">
        <w:rPr>
          <w:rFonts w:ascii="Arial" w:hAnsi="Arial" w:cs="Arial"/>
          <w:sz w:val="24"/>
          <w:szCs w:val="24"/>
        </w:rPr>
        <w:t xml:space="preserve">    AAHRPP Studies </w:t>
      </w:r>
    </w:p>
    <w:p w14:paraId="0EBFB2FB" w14:textId="77777777" w:rsidR="00C23352" w:rsidRPr="00263CB7" w:rsidRDefault="00C23352" w:rsidP="00C2335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37"/>
        <w:gridCol w:w="2868"/>
        <w:gridCol w:w="2278"/>
        <w:gridCol w:w="3812"/>
      </w:tblGrid>
      <w:tr w:rsidR="00C23352" w:rsidRPr="00263CB7" w14:paraId="7035480F" w14:textId="77777777" w:rsidTr="00142404">
        <w:tc>
          <w:tcPr>
            <w:tcW w:w="937" w:type="dxa"/>
          </w:tcPr>
          <w:p w14:paraId="6B4205BF" w14:textId="77777777" w:rsidR="00C23352" w:rsidRPr="00263CB7" w:rsidRDefault="00C23352" w:rsidP="004B07B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63CB7">
              <w:rPr>
                <w:rFonts w:ascii="Arial" w:hAnsi="Arial" w:cs="Arial"/>
                <w:b/>
                <w:sz w:val="24"/>
                <w:szCs w:val="24"/>
              </w:rPr>
              <w:t>Year</w:t>
            </w:r>
          </w:p>
        </w:tc>
        <w:tc>
          <w:tcPr>
            <w:tcW w:w="2868" w:type="dxa"/>
          </w:tcPr>
          <w:p w14:paraId="5EE363ED" w14:textId="77777777" w:rsidR="00C23352" w:rsidRPr="00263CB7" w:rsidRDefault="00C23352" w:rsidP="004B07B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63CB7">
              <w:rPr>
                <w:rFonts w:ascii="Arial" w:hAnsi="Arial" w:cs="Arial"/>
                <w:b/>
                <w:sz w:val="24"/>
                <w:szCs w:val="24"/>
              </w:rPr>
              <w:t xml:space="preserve">AAHRPP Open Studies </w:t>
            </w:r>
          </w:p>
        </w:tc>
        <w:tc>
          <w:tcPr>
            <w:tcW w:w="2278" w:type="dxa"/>
          </w:tcPr>
          <w:p w14:paraId="547D5888" w14:textId="77777777" w:rsidR="00C23352" w:rsidRPr="00263CB7" w:rsidRDefault="00C23352" w:rsidP="004B07B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63CB7">
              <w:rPr>
                <w:rFonts w:ascii="Arial" w:hAnsi="Arial" w:cs="Arial"/>
                <w:b/>
                <w:sz w:val="24"/>
                <w:szCs w:val="24"/>
              </w:rPr>
              <w:t>Studies Monitored</w:t>
            </w:r>
          </w:p>
        </w:tc>
        <w:tc>
          <w:tcPr>
            <w:tcW w:w="3812" w:type="dxa"/>
          </w:tcPr>
          <w:p w14:paraId="67BA46A6" w14:textId="77777777" w:rsidR="00C23352" w:rsidRPr="00263CB7" w:rsidRDefault="00C23352" w:rsidP="004B07B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63CB7">
              <w:rPr>
                <w:rFonts w:ascii="Arial" w:hAnsi="Arial" w:cs="Arial"/>
                <w:b/>
                <w:sz w:val="24"/>
                <w:szCs w:val="24"/>
              </w:rPr>
              <w:t>% of Open Studies Monitored</w:t>
            </w:r>
          </w:p>
        </w:tc>
      </w:tr>
      <w:tr w:rsidR="00895F12" w:rsidRPr="00263CB7" w14:paraId="63365B6E" w14:textId="77777777" w:rsidTr="00142404">
        <w:tc>
          <w:tcPr>
            <w:tcW w:w="937" w:type="dxa"/>
          </w:tcPr>
          <w:p w14:paraId="51AF6445" w14:textId="04D0FDAC" w:rsidR="00895F12" w:rsidRDefault="00895F12" w:rsidP="004B07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2868" w:type="dxa"/>
          </w:tcPr>
          <w:p w14:paraId="50A6879A" w14:textId="5EDC74A4" w:rsidR="00895F12" w:rsidRDefault="00895F12" w:rsidP="004B07B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4533</w:t>
            </w:r>
          </w:p>
        </w:tc>
        <w:tc>
          <w:tcPr>
            <w:tcW w:w="2278" w:type="dxa"/>
          </w:tcPr>
          <w:p w14:paraId="1FAD054D" w14:textId="513F2948" w:rsidR="00895F12" w:rsidRDefault="00895F12" w:rsidP="004B07B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3812" w:type="dxa"/>
          </w:tcPr>
          <w:p w14:paraId="4BB11318" w14:textId="585D10FC" w:rsidR="00895F12" w:rsidRDefault="00895F12" w:rsidP="004B07B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1.2%</w:t>
            </w:r>
          </w:p>
        </w:tc>
      </w:tr>
      <w:tr w:rsidR="007D1F37" w:rsidRPr="00263CB7" w14:paraId="0D86E420" w14:textId="77777777" w:rsidTr="00142404">
        <w:tc>
          <w:tcPr>
            <w:tcW w:w="937" w:type="dxa"/>
          </w:tcPr>
          <w:p w14:paraId="275238E8" w14:textId="5859C1A0" w:rsidR="007D1F37" w:rsidRDefault="007D1F37" w:rsidP="004B07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2021**</w:t>
            </w:r>
          </w:p>
        </w:tc>
        <w:tc>
          <w:tcPr>
            <w:tcW w:w="2868" w:type="dxa"/>
          </w:tcPr>
          <w:p w14:paraId="185DD35B" w14:textId="5E065F26" w:rsidR="007D1F37" w:rsidRDefault="00065809" w:rsidP="004B07B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4419</w:t>
            </w:r>
          </w:p>
        </w:tc>
        <w:tc>
          <w:tcPr>
            <w:tcW w:w="2278" w:type="dxa"/>
          </w:tcPr>
          <w:p w14:paraId="628210F0" w14:textId="3F5B24F4" w:rsidR="007D1F37" w:rsidRDefault="0096305F" w:rsidP="004B07B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3812" w:type="dxa"/>
          </w:tcPr>
          <w:p w14:paraId="32D0C0F2" w14:textId="07BD4DA9" w:rsidR="007D1F37" w:rsidRDefault="00065809" w:rsidP="004B07B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0.88%</w:t>
            </w:r>
          </w:p>
        </w:tc>
      </w:tr>
      <w:tr w:rsidR="0094084C" w:rsidRPr="00263CB7" w14:paraId="5D77A9EC" w14:textId="77777777" w:rsidTr="00142404">
        <w:tc>
          <w:tcPr>
            <w:tcW w:w="937" w:type="dxa"/>
          </w:tcPr>
          <w:p w14:paraId="23F4398F" w14:textId="13AE394E" w:rsidR="0094084C" w:rsidRPr="00263CB7" w:rsidRDefault="0094084C" w:rsidP="004B07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</w:t>
            </w:r>
            <w:r w:rsidR="007D1F37">
              <w:rPr>
                <w:rFonts w:ascii="Arial" w:hAnsi="Arial" w:cs="Arial"/>
                <w:sz w:val="24"/>
                <w:szCs w:val="24"/>
              </w:rPr>
              <w:t>**</w:t>
            </w:r>
          </w:p>
        </w:tc>
        <w:tc>
          <w:tcPr>
            <w:tcW w:w="2868" w:type="dxa"/>
          </w:tcPr>
          <w:p w14:paraId="6B50E496" w14:textId="261ABF02" w:rsidR="0094084C" w:rsidRPr="00263CB7" w:rsidRDefault="0094084C" w:rsidP="004B07B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4467</w:t>
            </w:r>
          </w:p>
        </w:tc>
        <w:tc>
          <w:tcPr>
            <w:tcW w:w="2278" w:type="dxa"/>
          </w:tcPr>
          <w:p w14:paraId="195E2CD4" w14:textId="2E9BEF83" w:rsidR="0094084C" w:rsidRPr="00263CB7" w:rsidRDefault="0094084C" w:rsidP="004B07B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42237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12" w:type="dxa"/>
          </w:tcPr>
          <w:p w14:paraId="4CEA8EDE" w14:textId="5B06DFEF" w:rsidR="0094084C" w:rsidRPr="00263CB7" w:rsidRDefault="0094084C" w:rsidP="004B07B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1.4%</w:t>
            </w:r>
          </w:p>
        </w:tc>
      </w:tr>
      <w:tr w:rsidR="00C23352" w:rsidRPr="00263CB7" w14:paraId="705EA166" w14:textId="77777777" w:rsidTr="00142404">
        <w:tc>
          <w:tcPr>
            <w:tcW w:w="937" w:type="dxa"/>
          </w:tcPr>
          <w:p w14:paraId="471A6E05" w14:textId="77777777" w:rsidR="00C23352" w:rsidRPr="00263CB7" w:rsidRDefault="00C23352" w:rsidP="004B07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63CB7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2868" w:type="dxa"/>
          </w:tcPr>
          <w:p w14:paraId="5BFB9859" w14:textId="77777777" w:rsidR="00C23352" w:rsidRPr="00263CB7" w:rsidRDefault="00C23352" w:rsidP="004B07B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CB7">
              <w:rPr>
                <w:rFonts w:ascii="Arial" w:hAnsi="Arial" w:cs="Arial"/>
                <w:sz w:val="24"/>
                <w:szCs w:val="24"/>
              </w:rPr>
              <w:t>4126</w:t>
            </w:r>
          </w:p>
        </w:tc>
        <w:tc>
          <w:tcPr>
            <w:tcW w:w="2278" w:type="dxa"/>
          </w:tcPr>
          <w:p w14:paraId="5E1062B3" w14:textId="77777777" w:rsidR="00C23352" w:rsidRPr="00263CB7" w:rsidRDefault="00C23352" w:rsidP="004B07B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CB7">
              <w:rPr>
                <w:rFonts w:ascii="Arial" w:hAnsi="Arial" w:cs="Arial"/>
                <w:sz w:val="24"/>
                <w:szCs w:val="24"/>
              </w:rPr>
              <w:t>153</w:t>
            </w:r>
          </w:p>
        </w:tc>
        <w:tc>
          <w:tcPr>
            <w:tcW w:w="3812" w:type="dxa"/>
          </w:tcPr>
          <w:p w14:paraId="35A75B19" w14:textId="77777777" w:rsidR="00C23352" w:rsidRPr="00263CB7" w:rsidRDefault="00C23352" w:rsidP="004B07B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CB7">
              <w:rPr>
                <w:rFonts w:ascii="Arial" w:hAnsi="Arial" w:cs="Arial"/>
                <w:sz w:val="24"/>
                <w:szCs w:val="24"/>
              </w:rPr>
              <w:t>3.7%</w:t>
            </w:r>
          </w:p>
        </w:tc>
      </w:tr>
    </w:tbl>
    <w:p w14:paraId="059655DE" w14:textId="77777777" w:rsidR="00B34DF7" w:rsidRDefault="00B34DF7" w:rsidP="00C233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626DE2" w14:textId="59F903D5" w:rsidR="004157CC" w:rsidRDefault="004157CC" w:rsidP="00C2335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</w:t>
      </w:r>
      <w:r w:rsidR="00D934FE">
        <w:rPr>
          <w:rFonts w:ascii="Arial" w:hAnsi="Arial" w:cs="Arial"/>
          <w:sz w:val="24"/>
          <w:szCs w:val="24"/>
        </w:rPr>
        <w:t>Compliance monitoring halted due to the COVID pandemic during the bulk of the 2020-2021 calendar year.</w:t>
      </w:r>
    </w:p>
    <w:p w14:paraId="50A12FE8" w14:textId="77777777" w:rsidR="004157CC" w:rsidRDefault="004157CC" w:rsidP="00C233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A66C4A" w14:textId="1C1E4747" w:rsidR="00C23352" w:rsidRDefault="00C23352" w:rsidP="00C233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63CB7">
        <w:rPr>
          <w:rFonts w:ascii="Arial" w:hAnsi="Arial" w:cs="Arial"/>
          <w:sz w:val="24"/>
          <w:szCs w:val="24"/>
        </w:rPr>
        <w:t>Distribution of monitoring events per Compliance Program Staff Member is documented in Table 2 below.</w:t>
      </w:r>
    </w:p>
    <w:p w14:paraId="05953544" w14:textId="72AC64C0" w:rsidR="00C23352" w:rsidRPr="00263CB7" w:rsidRDefault="00C23352" w:rsidP="00C23352">
      <w:pPr>
        <w:spacing w:line="240" w:lineRule="auto"/>
        <w:rPr>
          <w:rFonts w:ascii="Arial" w:hAnsi="Arial" w:cs="Arial"/>
          <w:b/>
          <w:sz w:val="24"/>
          <w:szCs w:val="24"/>
        </w:rPr>
      </w:pPr>
      <w:bookmarkStart w:id="0" w:name="_Hlk2850588"/>
      <w:r w:rsidRPr="00263CB7">
        <w:rPr>
          <w:rFonts w:ascii="Arial" w:hAnsi="Arial" w:cs="Arial"/>
          <w:b/>
          <w:sz w:val="24"/>
          <w:szCs w:val="24"/>
        </w:rPr>
        <w:lastRenderedPageBreak/>
        <w:t>Table 2:  Total Events in 20</w:t>
      </w:r>
      <w:r w:rsidR="00313950">
        <w:rPr>
          <w:rFonts w:ascii="Arial" w:hAnsi="Arial" w:cs="Arial"/>
          <w:b/>
          <w:sz w:val="24"/>
          <w:szCs w:val="24"/>
        </w:rPr>
        <w:t>2</w:t>
      </w:r>
      <w:r w:rsidR="007D150D">
        <w:rPr>
          <w:rFonts w:ascii="Arial" w:hAnsi="Arial" w:cs="Arial"/>
          <w:b/>
          <w:sz w:val="24"/>
          <w:szCs w:val="24"/>
        </w:rPr>
        <w:t>3</w:t>
      </w:r>
      <w:r w:rsidRPr="00263CB7">
        <w:rPr>
          <w:rFonts w:ascii="Arial" w:hAnsi="Arial" w:cs="Arial"/>
          <w:b/>
          <w:sz w:val="24"/>
          <w:szCs w:val="24"/>
        </w:rPr>
        <w:t xml:space="preserve"> by Staff Member: On-Site Monitoring   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1183"/>
        <w:gridCol w:w="2058"/>
        <w:gridCol w:w="1269"/>
        <w:gridCol w:w="280"/>
        <w:gridCol w:w="825"/>
        <w:gridCol w:w="179"/>
        <w:gridCol w:w="236"/>
        <w:gridCol w:w="1440"/>
        <w:gridCol w:w="1886"/>
        <w:gridCol w:w="1444"/>
      </w:tblGrid>
      <w:tr w:rsidR="005603CF" w:rsidRPr="00263CB7" w14:paraId="735C28F2" w14:textId="51F99CBF" w:rsidTr="00282632">
        <w:trPr>
          <w:gridAfter w:val="5"/>
          <w:wAfter w:w="5185" w:type="dxa"/>
          <w:trHeight w:val="33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3823" w14:textId="77777777" w:rsidR="005603CF" w:rsidRPr="00263CB7" w:rsidRDefault="005603CF" w:rsidP="004B07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66A9" w14:textId="77777777" w:rsidR="005603CF" w:rsidRPr="00263CB7" w:rsidRDefault="005603CF" w:rsidP="004B07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6FFF2D04" w14:textId="77777777" w:rsidR="005603CF" w:rsidRPr="00263CB7" w:rsidRDefault="005603CF" w:rsidP="004B07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EE64B" w14:textId="77777777" w:rsidR="005603CF" w:rsidRPr="00263CB7" w:rsidRDefault="005603CF" w:rsidP="004B07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03CF" w:rsidRPr="00263CB7" w14:paraId="6EA4FFAA" w14:textId="77777777" w:rsidTr="00710213">
        <w:trPr>
          <w:trHeight w:val="661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BC36D" w14:textId="77777777" w:rsidR="005603CF" w:rsidRPr="00263CB7" w:rsidRDefault="005603CF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FBA6" w14:textId="77777777" w:rsidR="005603CF" w:rsidRPr="00263CB7" w:rsidRDefault="005603CF" w:rsidP="004B07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6DAFC" w14:textId="7E275310" w:rsidR="005603CF" w:rsidRPr="00263CB7" w:rsidRDefault="00710213" w:rsidP="004B0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5A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02C99F" w14:textId="77777777" w:rsidR="005603CF" w:rsidRDefault="005603CF" w:rsidP="004B0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19129A91" w14:textId="2978B8CC" w:rsidR="005603CF" w:rsidRDefault="00710213" w:rsidP="004B0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4A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C05B34" w14:textId="77777777" w:rsidR="005603CF" w:rsidRDefault="005603CF" w:rsidP="004B0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BA8F" w14:textId="5BE000E2" w:rsidR="005603CF" w:rsidRPr="00263CB7" w:rsidRDefault="00710213" w:rsidP="004B0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3A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7882B" w14:textId="77777777" w:rsidR="005603CF" w:rsidRPr="00263CB7" w:rsidRDefault="005603CF" w:rsidP="004B0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Event Total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F92F1" w14:textId="77777777" w:rsidR="005603CF" w:rsidRPr="00263CB7" w:rsidRDefault="005603CF" w:rsidP="004B0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% of Total</w:t>
            </w:r>
          </w:p>
        </w:tc>
      </w:tr>
      <w:tr w:rsidR="005603CF" w:rsidRPr="00263CB7" w14:paraId="0FC9C9CA" w14:textId="77777777" w:rsidTr="006368DB">
        <w:trPr>
          <w:trHeight w:val="330"/>
        </w:trPr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noWrap/>
            <w:textDirection w:val="btLr"/>
            <w:vAlign w:val="bottom"/>
            <w:hideMark/>
          </w:tcPr>
          <w:p w14:paraId="4AF10DF9" w14:textId="77777777" w:rsidR="005603CF" w:rsidRPr="00263CB7" w:rsidRDefault="005603CF" w:rsidP="004B07B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Type of Event</w:t>
            </w:r>
          </w:p>
          <w:p w14:paraId="1CB1F4FB" w14:textId="77777777" w:rsidR="005603CF" w:rsidRPr="00263CB7" w:rsidRDefault="005603CF" w:rsidP="004B07B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0DC2" w14:textId="77777777" w:rsidR="005603CF" w:rsidRPr="00263CB7" w:rsidRDefault="005603CF" w:rsidP="004B0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PARR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CBDBD" w14:textId="09988E19" w:rsidR="005603CF" w:rsidRPr="00263CB7" w:rsidRDefault="00282632" w:rsidP="00282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CE89B7" w14:textId="7A88BFEE" w:rsidR="005603CF" w:rsidRDefault="00282632" w:rsidP="00282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5E6FB" w14:textId="77777777" w:rsidR="005603CF" w:rsidRDefault="005603CF" w:rsidP="00282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7FC03" w14:textId="6377D260" w:rsidR="005603CF" w:rsidRPr="00263CB7" w:rsidRDefault="005603CF" w:rsidP="00282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FD937" w14:textId="617F3859" w:rsidR="005603CF" w:rsidRPr="00263CB7" w:rsidRDefault="00282632" w:rsidP="00282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0CD811" w14:textId="78B84662" w:rsidR="005603CF" w:rsidRPr="00263CB7" w:rsidRDefault="006368DB" w:rsidP="00282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4%</w:t>
            </w:r>
          </w:p>
        </w:tc>
      </w:tr>
      <w:tr w:rsidR="005603CF" w:rsidRPr="00263CB7" w14:paraId="5EE23415" w14:textId="77777777" w:rsidTr="006368DB">
        <w:trPr>
          <w:trHeight w:val="33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B4EF40B" w14:textId="77777777" w:rsidR="005603CF" w:rsidRPr="00263CB7" w:rsidRDefault="005603CF" w:rsidP="004B0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F52389" w14:textId="77777777" w:rsidR="005603CF" w:rsidRPr="00263CB7" w:rsidRDefault="005603CF" w:rsidP="004B0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PARR - IND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D611AEF" w14:textId="4BB42BE9" w:rsidR="005603CF" w:rsidRPr="00263CB7" w:rsidRDefault="00282632" w:rsidP="00282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72365D48" w14:textId="5A0579E3" w:rsidR="005603CF" w:rsidRDefault="00282632" w:rsidP="00282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A591DD" w14:textId="77777777" w:rsidR="005603CF" w:rsidRDefault="005603CF" w:rsidP="00282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1530655" w14:textId="77FAF92E" w:rsidR="005603CF" w:rsidRPr="00263CB7" w:rsidRDefault="005603CF" w:rsidP="00282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C7A3E7E" w14:textId="185F0CBF" w:rsidR="005603CF" w:rsidRPr="00263CB7" w:rsidRDefault="00282632" w:rsidP="00282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8BC67AE" w14:textId="26ECC528" w:rsidR="005603CF" w:rsidRPr="00263CB7" w:rsidRDefault="006368DB" w:rsidP="00636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2%</w:t>
            </w:r>
          </w:p>
        </w:tc>
      </w:tr>
      <w:tr w:rsidR="005603CF" w:rsidRPr="00263CB7" w14:paraId="68B3473B" w14:textId="77777777" w:rsidTr="006368DB">
        <w:trPr>
          <w:trHeight w:val="33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6F4FA79" w14:textId="77777777" w:rsidR="005603CF" w:rsidRPr="00263CB7" w:rsidRDefault="005603CF" w:rsidP="004B0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BC91" w14:textId="43C556F0" w:rsidR="005603CF" w:rsidRPr="00263CB7" w:rsidRDefault="00282632" w:rsidP="004B0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IDHHS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3BA88" w14:textId="2E6E4F96" w:rsidR="005603CF" w:rsidRPr="00263CB7" w:rsidRDefault="005603CF" w:rsidP="00282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C6C62B" w14:textId="1155096C" w:rsidR="005603CF" w:rsidRDefault="00282632" w:rsidP="00282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D223B" w14:textId="581428DE" w:rsidR="005603CF" w:rsidRDefault="005603CF" w:rsidP="00282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79B31" w14:textId="2CD984C2" w:rsidR="005603CF" w:rsidRPr="00263CB7" w:rsidRDefault="005603CF" w:rsidP="00282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EEE1F" w14:textId="428EF612" w:rsidR="005603CF" w:rsidRPr="00263CB7" w:rsidRDefault="005603CF" w:rsidP="00282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2116C" w14:textId="0FD7D2B0" w:rsidR="005603CF" w:rsidRPr="00263CB7" w:rsidRDefault="006368DB" w:rsidP="00282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5603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%</w:t>
            </w:r>
          </w:p>
        </w:tc>
      </w:tr>
      <w:tr w:rsidR="005603CF" w:rsidRPr="00263CB7" w14:paraId="6569ECD2" w14:textId="77777777" w:rsidTr="006368DB">
        <w:trPr>
          <w:trHeight w:val="33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0C08AF5" w14:textId="77777777" w:rsidR="005603CF" w:rsidRPr="00263CB7" w:rsidRDefault="005603CF" w:rsidP="004B0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59FC1C1" w14:textId="77777777" w:rsidR="005603CF" w:rsidRPr="00263CB7" w:rsidRDefault="005603CF" w:rsidP="004B0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Pam &amp; Ed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CD8E067" w14:textId="3AE51F1E" w:rsidR="005603CF" w:rsidRPr="00263CB7" w:rsidRDefault="00282632" w:rsidP="00282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54088E6A" w14:textId="6F14B45C" w:rsidR="005603CF" w:rsidRDefault="006368DB" w:rsidP="00282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4C6C0C" w14:textId="77777777" w:rsidR="005603CF" w:rsidRDefault="005603CF" w:rsidP="00282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725C0B6" w14:textId="48071DA1" w:rsidR="005603CF" w:rsidRPr="00263CB7" w:rsidRDefault="005603CF" w:rsidP="00282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7D9295A" w14:textId="5494FA6D" w:rsidR="005603CF" w:rsidRPr="00263CB7" w:rsidRDefault="00282632" w:rsidP="00282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1145E13" w14:textId="6A125318" w:rsidR="005603CF" w:rsidRPr="00263CB7" w:rsidRDefault="006368DB" w:rsidP="00282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  <w:r w:rsidR="005603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%</w:t>
            </w:r>
          </w:p>
        </w:tc>
      </w:tr>
      <w:tr w:rsidR="005603CF" w:rsidRPr="00263CB7" w14:paraId="36C916FB" w14:textId="77777777" w:rsidTr="006368DB">
        <w:trPr>
          <w:trHeight w:val="33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BAF200A" w14:textId="77777777" w:rsidR="005603CF" w:rsidRPr="00263CB7" w:rsidRDefault="005603CF" w:rsidP="004B0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DAC0" w14:textId="77777777" w:rsidR="005603CF" w:rsidRPr="00263CB7" w:rsidRDefault="005603CF" w:rsidP="004B0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Directed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0DDA8" w14:textId="2E26F465" w:rsidR="005603CF" w:rsidRPr="00263CB7" w:rsidRDefault="00282632" w:rsidP="00282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4BCA40" w14:textId="277A9F1C" w:rsidR="005603CF" w:rsidRDefault="00282632" w:rsidP="00282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AD4E2" w14:textId="77777777" w:rsidR="005603CF" w:rsidRDefault="005603CF" w:rsidP="00282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42AB5" w14:textId="79D9E5A4" w:rsidR="005603CF" w:rsidRPr="00263CB7" w:rsidRDefault="005603CF" w:rsidP="00282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D16AE" w14:textId="5A6AAA67" w:rsidR="005603CF" w:rsidRPr="00263CB7" w:rsidRDefault="00282632" w:rsidP="00282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3BF23F" w14:textId="1FABBDDD" w:rsidR="005603CF" w:rsidRPr="00263CB7" w:rsidRDefault="006368DB" w:rsidP="00282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5603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3%</w:t>
            </w:r>
          </w:p>
        </w:tc>
      </w:tr>
      <w:tr w:rsidR="005603CF" w:rsidRPr="00263CB7" w14:paraId="0699BAF7" w14:textId="77777777" w:rsidTr="006368DB">
        <w:trPr>
          <w:trHeight w:val="33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B836895" w14:textId="77777777" w:rsidR="005603CF" w:rsidRPr="00263CB7" w:rsidRDefault="005603CF" w:rsidP="004B0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0E51" w14:textId="685F7B05" w:rsidR="005603CF" w:rsidRPr="00263CB7" w:rsidRDefault="00282632" w:rsidP="004B0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FDA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232BD" w14:textId="2ED74A0D" w:rsidR="005603CF" w:rsidRPr="00263CB7" w:rsidRDefault="00282632" w:rsidP="00282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FF3276" w14:textId="14409F81" w:rsidR="005603CF" w:rsidRDefault="00282632" w:rsidP="00282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F97A8" w14:textId="77777777" w:rsidR="005603CF" w:rsidRDefault="005603CF" w:rsidP="00282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1330E" w14:textId="5BE5E7EC" w:rsidR="005603CF" w:rsidRPr="00263CB7" w:rsidRDefault="005603CF" w:rsidP="00282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A9C10" w14:textId="75A4C7E9" w:rsidR="005603CF" w:rsidRPr="00263CB7" w:rsidRDefault="00282632" w:rsidP="00282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1E98E" w14:textId="63C2135D" w:rsidR="005603CF" w:rsidRPr="00263CB7" w:rsidRDefault="006368DB" w:rsidP="00282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4%</w:t>
            </w:r>
          </w:p>
        </w:tc>
      </w:tr>
      <w:tr w:rsidR="005603CF" w:rsidRPr="00263CB7" w14:paraId="6416BB29" w14:textId="77777777" w:rsidTr="006368DB">
        <w:trPr>
          <w:trHeight w:val="33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2A6490E" w14:textId="77777777" w:rsidR="005603CF" w:rsidRPr="00263CB7" w:rsidRDefault="005603CF" w:rsidP="004B0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882F" w14:textId="77777777" w:rsidR="005603CF" w:rsidRPr="00263CB7" w:rsidRDefault="005603CF" w:rsidP="004B0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Umbrella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E54B5" w14:textId="23BEF61A" w:rsidR="005603CF" w:rsidRPr="00263CB7" w:rsidRDefault="005603CF" w:rsidP="00282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872B75" w14:textId="1870A7EA" w:rsidR="005603CF" w:rsidRDefault="00282632" w:rsidP="00282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B07F0" w14:textId="77777777" w:rsidR="005603CF" w:rsidRDefault="005603CF" w:rsidP="00282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4713B" w14:textId="3CA9EA1D" w:rsidR="005603CF" w:rsidRPr="00263CB7" w:rsidRDefault="005603CF" w:rsidP="00282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ABE1D" w14:textId="2BB5A5D5" w:rsidR="005603CF" w:rsidRPr="00263CB7" w:rsidRDefault="005603CF" w:rsidP="00282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8C2FE8" w14:textId="22CD84A5" w:rsidR="005603CF" w:rsidRPr="00263CB7" w:rsidRDefault="005603CF" w:rsidP="00282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5603CF" w:rsidRPr="00263CB7" w14:paraId="244C2661" w14:textId="77777777" w:rsidTr="006368DB">
        <w:trPr>
          <w:trHeight w:val="330"/>
        </w:trPr>
        <w:tc>
          <w:tcPr>
            <w:tcW w:w="1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C0D9" w14:textId="77777777" w:rsidR="005603CF" w:rsidRPr="00263CB7" w:rsidRDefault="005603CF" w:rsidP="004B0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F913359" w14:textId="77777777" w:rsidR="005603CF" w:rsidRPr="00263CB7" w:rsidRDefault="005603CF" w:rsidP="004B0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 Events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06BDA8B" w14:textId="11A70587" w:rsidR="005603CF" w:rsidRPr="00263CB7" w:rsidRDefault="00282632" w:rsidP="00282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27CFD33E" w14:textId="39B006BD" w:rsidR="005603CF" w:rsidRDefault="006368DB" w:rsidP="00282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E7B76E" w14:textId="77777777" w:rsidR="005603CF" w:rsidRDefault="005603CF" w:rsidP="00282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4ABA7B0" w14:textId="0FB4D804" w:rsidR="005603CF" w:rsidRPr="00263CB7" w:rsidRDefault="005603CF" w:rsidP="00282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808C034" w14:textId="0B404FCB" w:rsidR="005603CF" w:rsidRPr="00263CB7" w:rsidRDefault="006368DB" w:rsidP="00282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C25537" w14:textId="77777777" w:rsidR="005603CF" w:rsidRPr="00263CB7" w:rsidRDefault="005603CF" w:rsidP="00282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603CF" w:rsidRPr="00263CB7" w14:paraId="55DC0A10" w14:textId="77777777" w:rsidTr="006368DB">
        <w:trPr>
          <w:trHeight w:val="330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1369" w14:textId="77777777" w:rsidR="005603CF" w:rsidRPr="00263CB7" w:rsidRDefault="005603CF" w:rsidP="004B0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21A5127" w14:textId="77777777" w:rsidR="005603CF" w:rsidRPr="00263CB7" w:rsidRDefault="005603CF" w:rsidP="004B07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% of All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6A80CE1" w14:textId="1F6A3A8E" w:rsidR="005603CF" w:rsidRPr="00263CB7" w:rsidRDefault="006368DB" w:rsidP="00282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4</w:t>
            </w:r>
            <w:r w:rsidR="005603C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0</w:t>
            </w:r>
            <w:r w:rsidR="005603CF" w:rsidRPr="00263CB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5D2FDAFA" w14:textId="5042A0AB" w:rsidR="005603CF" w:rsidRDefault="006368DB" w:rsidP="00282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58%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F0867C" w14:textId="77777777" w:rsidR="005603CF" w:rsidRDefault="005603CF" w:rsidP="00282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802C0B2" w14:textId="3028A314" w:rsidR="005603CF" w:rsidRPr="00263CB7" w:rsidRDefault="006368DB" w:rsidP="00282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2%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143D609" w14:textId="58624F84" w:rsidR="005603CF" w:rsidRPr="00263CB7" w:rsidRDefault="005603CF" w:rsidP="00282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276E27F" w14:textId="04566A93" w:rsidR="005603CF" w:rsidRPr="00263CB7" w:rsidRDefault="005603CF" w:rsidP="00282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100%</w:t>
            </w:r>
          </w:p>
        </w:tc>
      </w:tr>
    </w:tbl>
    <w:p w14:paraId="757ADF40" w14:textId="77777777" w:rsidR="00C23352" w:rsidRPr="00263CB7" w:rsidRDefault="00C23352" w:rsidP="00C233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D3997B" w14:textId="77777777" w:rsidR="00C23352" w:rsidRPr="00263CB7" w:rsidRDefault="00C23352" w:rsidP="00C233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B3C7A5" w14:textId="157A5208" w:rsidR="00C23352" w:rsidRPr="00263CB7" w:rsidRDefault="00C23352" w:rsidP="00C23352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263CB7">
        <w:rPr>
          <w:rFonts w:ascii="Arial" w:hAnsi="Arial" w:cs="Arial"/>
          <w:b/>
          <w:sz w:val="24"/>
          <w:szCs w:val="24"/>
        </w:rPr>
        <w:t>Table 3:  Total Events in 20</w:t>
      </w:r>
      <w:r w:rsidR="00313950">
        <w:rPr>
          <w:rFonts w:ascii="Arial" w:hAnsi="Arial" w:cs="Arial"/>
          <w:b/>
          <w:sz w:val="24"/>
          <w:szCs w:val="24"/>
        </w:rPr>
        <w:t>2</w:t>
      </w:r>
      <w:r w:rsidR="007D150D">
        <w:rPr>
          <w:rFonts w:ascii="Arial" w:hAnsi="Arial" w:cs="Arial"/>
          <w:b/>
          <w:sz w:val="24"/>
          <w:szCs w:val="24"/>
        </w:rPr>
        <w:t>3</w:t>
      </w:r>
      <w:r w:rsidRPr="00263CB7">
        <w:rPr>
          <w:rFonts w:ascii="Arial" w:hAnsi="Arial" w:cs="Arial"/>
          <w:b/>
          <w:sz w:val="24"/>
          <w:szCs w:val="24"/>
        </w:rPr>
        <w:t xml:space="preserve"> by Staff Member: Monitoring via Survey 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2112"/>
        <w:gridCol w:w="1284"/>
        <w:gridCol w:w="330"/>
        <w:gridCol w:w="869"/>
        <w:gridCol w:w="144"/>
        <w:gridCol w:w="301"/>
        <w:gridCol w:w="1183"/>
        <w:gridCol w:w="1221"/>
        <w:gridCol w:w="3356"/>
      </w:tblGrid>
      <w:tr w:rsidR="0086740A" w:rsidRPr="00263CB7" w14:paraId="1E27C403" w14:textId="78A06353" w:rsidTr="00710213">
        <w:trPr>
          <w:gridAfter w:val="5"/>
          <w:wAfter w:w="6205" w:type="dxa"/>
          <w:trHeight w:val="318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A103" w14:textId="77777777" w:rsidR="0086740A" w:rsidRPr="00263CB7" w:rsidRDefault="0086740A" w:rsidP="004B07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3C0F712C" w14:textId="77777777" w:rsidR="0086740A" w:rsidRPr="00263CB7" w:rsidRDefault="0086740A" w:rsidP="004B07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756EF0" w14:textId="77777777" w:rsidR="0086740A" w:rsidRPr="00263CB7" w:rsidRDefault="0086740A" w:rsidP="004B07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10213" w:rsidRPr="00263CB7" w14:paraId="12EF81BF" w14:textId="77777777" w:rsidTr="00710213">
        <w:trPr>
          <w:trHeight w:val="637"/>
        </w:trPr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2161" w14:textId="77777777" w:rsidR="00710213" w:rsidRPr="00263CB7" w:rsidRDefault="00710213" w:rsidP="007102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35D62" w14:textId="17927710" w:rsidR="00710213" w:rsidRPr="00263CB7" w:rsidRDefault="00710213" w:rsidP="00710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5A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35ABC8" w14:textId="77777777" w:rsidR="00710213" w:rsidRDefault="00710213" w:rsidP="00710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0BD436BA" w14:textId="180BD852" w:rsidR="00710213" w:rsidRDefault="00710213" w:rsidP="00710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4A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4422BC" w14:textId="77777777" w:rsidR="00710213" w:rsidRDefault="00710213" w:rsidP="00710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23598" w14:textId="74D5F153" w:rsidR="00710213" w:rsidRPr="00263CB7" w:rsidRDefault="00710213" w:rsidP="00710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3A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EDC84" w14:textId="77777777" w:rsidR="00710213" w:rsidRPr="00263CB7" w:rsidRDefault="00710213" w:rsidP="00710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Event Total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9E74B2" w14:textId="77777777" w:rsidR="00710213" w:rsidRPr="00263CB7" w:rsidRDefault="00710213" w:rsidP="00710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% of Total</w:t>
            </w:r>
          </w:p>
        </w:tc>
      </w:tr>
      <w:tr w:rsidR="0086740A" w:rsidRPr="00263CB7" w14:paraId="456782D2" w14:textId="77777777" w:rsidTr="00710213">
        <w:trPr>
          <w:trHeight w:val="329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A80A4A4" w14:textId="77777777" w:rsidR="0086740A" w:rsidRPr="00263CB7" w:rsidRDefault="0086740A" w:rsidP="004B0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SPI-FA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438E9D2" w14:textId="0A21D9A3" w:rsidR="0086740A" w:rsidRPr="00263CB7" w:rsidRDefault="007F1200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4FFFEA2E" w14:textId="33999A88" w:rsidR="0086740A" w:rsidRDefault="00870F02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C7BA1C" w14:textId="77777777" w:rsidR="0086740A" w:rsidRDefault="0086740A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66EC049" w14:textId="73116E03" w:rsidR="0086740A" w:rsidRPr="00263CB7" w:rsidRDefault="00870F02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1D35D54" w14:textId="08D57811" w:rsidR="0086740A" w:rsidRPr="00263CB7" w:rsidRDefault="00870F02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52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4B02AD2" w14:textId="6FCD058F" w:rsidR="0086740A" w:rsidRPr="00263CB7" w:rsidRDefault="0086740A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100%</w:t>
            </w:r>
          </w:p>
        </w:tc>
      </w:tr>
      <w:tr w:rsidR="0086740A" w:rsidRPr="00263CB7" w14:paraId="23CCCA15" w14:textId="77777777" w:rsidTr="00710213">
        <w:trPr>
          <w:trHeight w:val="31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499AB0A" w14:textId="050A4CA3" w:rsidR="0086740A" w:rsidRPr="00263CB7" w:rsidRDefault="0086740A" w:rsidP="004B0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Exempt*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6438968" w14:textId="57B4438E" w:rsidR="0086740A" w:rsidRPr="00263CB7" w:rsidRDefault="0086740A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695E41FB" w14:textId="77777777" w:rsidR="0086740A" w:rsidRDefault="0086740A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1634EA" w14:textId="77777777" w:rsidR="0086740A" w:rsidRDefault="0086740A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7FB2E7A" w14:textId="343B7E04" w:rsidR="0086740A" w:rsidRPr="00263CB7" w:rsidRDefault="0086740A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A32D409" w14:textId="7AC40D16" w:rsidR="0086740A" w:rsidRPr="00263CB7" w:rsidRDefault="0086740A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AFD55AE" w14:textId="4E371108" w:rsidR="0086740A" w:rsidRPr="00263CB7" w:rsidRDefault="0086740A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86740A" w:rsidRPr="00263CB7" w14:paraId="031878CD" w14:textId="77777777" w:rsidTr="00710213">
        <w:trPr>
          <w:trHeight w:val="31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DE101E0" w14:textId="77777777" w:rsidR="0086740A" w:rsidRPr="00263CB7" w:rsidRDefault="0086740A" w:rsidP="004B0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 Events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C11CF1C" w14:textId="4206ACD1" w:rsidR="0086740A" w:rsidRPr="00263CB7" w:rsidRDefault="00870F02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3D2C4996" w14:textId="21AE3D62" w:rsidR="0086740A" w:rsidRDefault="00870F02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0FD8BB" w14:textId="77777777" w:rsidR="0086740A" w:rsidRDefault="0086740A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24342C1" w14:textId="1F770B51" w:rsidR="0086740A" w:rsidRPr="00263CB7" w:rsidRDefault="00870F02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964E14C" w14:textId="678272F6" w:rsidR="0086740A" w:rsidRPr="00263CB7" w:rsidRDefault="00870F02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23EBC3" w14:textId="7AC270A3" w:rsidR="0086740A" w:rsidRPr="00263CB7" w:rsidRDefault="00870F02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100%</w:t>
            </w:r>
          </w:p>
        </w:tc>
      </w:tr>
      <w:tr w:rsidR="0086740A" w:rsidRPr="00263CB7" w14:paraId="2F524510" w14:textId="77777777" w:rsidTr="00710213">
        <w:trPr>
          <w:trHeight w:val="31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2E6901B" w14:textId="77777777" w:rsidR="0086740A" w:rsidRPr="00263CB7" w:rsidRDefault="0086740A" w:rsidP="004B07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% of All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2333E44" w14:textId="5756B041" w:rsidR="0086740A" w:rsidRPr="00263CB7" w:rsidRDefault="00870F02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8%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51F1A27C" w14:textId="27235C57" w:rsidR="0086740A" w:rsidRDefault="00870F02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80%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F360A3" w14:textId="77777777" w:rsidR="0086740A" w:rsidRDefault="0086740A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2E88441" w14:textId="5478ADD2" w:rsidR="0086740A" w:rsidRPr="00263CB7" w:rsidRDefault="00870F02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12%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268B61" w14:textId="77777777" w:rsidR="0086740A" w:rsidRPr="00263CB7" w:rsidRDefault="0086740A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ABDD2F2" w14:textId="77777777" w:rsidR="0086740A" w:rsidRPr="00263CB7" w:rsidRDefault="0086740A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 100%</w:t>
            </w:r>
          </w:p>
        </w:tc>
      </w:tr>
    </w:tbl>
    <w:p w14:paraId="023044AB" w14:textId="3498B392" w:rsidR="00C23352" w:rsidRDefault="00C23352" w:rsidP="00C233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2DBC42" w14:textId="20D61D30" w:rsidR="00E52B1A" w:rsidRPr="00263CB7" w:rsidRDefault="00E52B1A" w:rsidP="00C2335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*The Exempt application was under significant revision in 2021 and went live in 2023.  Monitoring has been on hold while the research community adjusts to the new process.</w:t>
      </w:r>
    </w:p>
    <w:p w14:paraId="4E4FD85A" w14:textId="77777777" w:rsidR="00422377" w:rsidRDefault="00422377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CE5FC7E" w14:textId="2CAC2C8A" w:rsidR="00C23352" w:rsidRPr="00263CB7" w:rsidRDefault="00C23352" w:rsidP="00C23352">
      <w:pPr>
        <w:spacing w:line="240" w:lineRule="auto"/>
        <w:rPr>
          <w:rStyle w:val="SubtleEmphasis"/>
          <w:rFonts w:ascii="Arial" w:hAnsi="Arial" w:cs="Arial"/>
          <w:sz w:val="24"/>
          <w:szCs w:val="24"/>
        </w:rPr>
      </w:pPr>
      <w:r w:rsidRPr="00263CB7">
        <w:rPr>
          <w:rFonts w:ascii="Arial" w:hAnsi="Arial" w:cs="Arial"/>
          <w:b/>
          <w:sz w:val="24"/>
          <w:szCs w:val="24"/>
        </w:rPr>
        <w:t>Table 4:  Total Events by Type</w:t>
      </w:r>
      <w:r w:rsidRPr="00263CB7">
        <w:rPr>
          <w:rFonts w:ascii="Arial" w:hAnsi="Arial" w:cs="Arial"/>
          <w:b/>
          <w:color w:val="538135" w:themeColor="accent6" w:themeShade="BF"/>
          <w:sz w:val="24"/>
          <w:szCs w:val="24"/>
        </w:rPr>
        <w:t xml:space="preserve"> </w:t>
      </w:r>
      <w:r w:rsidRPr="00263CB7">
        <w:rPr>
          <w:rFonts w:ascii="Arial" w:hAnsi="Arial" w:cs="Arial"/>
          <w:b/>
          <w:sz w:val="24"/>
          <w:szCs w:val="24"/>
        </w:rPr>
        <w:t>of Event, 201</w:t>
      </w:r>
      <w:r w:rsidR="007D150D">
        <w:rPr>
          <w:rFonts w:ascii="Arial" w:hAnsi="Arial" w:cs="Arial"/>
          <w:b/>
          <w:sz w:val="24"/>
          <w:szCs w:val="24"/>
        </w:rPr>
        <w:t>9</w:t>
      </w:r>
      <w:r w:rsidRPr="00263CB7">
        <w:rPr>
          <w:rFonts w:ascii="Arial" w:hAnsi="Arial" w:cs="Arial"/>
          <w:b/>
          <w:sz w:val="24"/>
          <w:szCs w:val="24"/>
        </w:rPr>
        <w:t xml:space="preserve"> – 20</w:t>
      </w:r>
      <w:r w:rsidR="00313950">
        <w:rPr>
          <w:rFonts w:ascii="Arial" w:hAnsi="Arial" w:cs="Arial"/>
          <w:b/>
          <w:sz w:val="24"/>
          <w:szCs w:val="24"/>
        </w:rPr>
        <w:t>2</w:t>
      </w:r>
      <w:r w:rsidR="007D150D">
        <w:rPr>
          <w:rFonts w:ascii="Arial" w:hAnsi="Arial" w:cs="Arial"/>
          <w:b/>
          <w:sz w:val="24"/>
          <w:szCs w:val="24"/>
        </w:rPr>
        <w:t>3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693"/>
        <w:gridCol w:w="4126"/>
        <w:gridCol w:w="1207"/>
        <w:gridCol w:w="1207"/>
        <w:gridCol w:w="1207"/>
        <w:gridCol w:w="1153"/>
        <w:gridCol w:w="1207"/>
      </w:tblGrid>
      <w:tr w:rsidR="0094084C" w:rsidRPr="00263CB7" w14:paraId="165A6F04" w14:textId="1B04974E" w:rsidTr="0094084C">
        <w:trPr>
          <w:gridAfter w:val="3"/>
          <w:wAfter w:w="3567" w:type="dxa"/>
          <w:trHeight w:val="228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43D6C" w14:textId="77777777" w:rsidR="0094084C" w:rsidRPr="00263CB7" w:rsidRDefault="0094084C" w:rsidP="004B07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5354C" w14:textId="77777777" w:rsidR="0094084C" w:rsidRPr="00263CB7" w:rsidRDefault="0094084C" w:rsidP="004B07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079558F4" w14:textId="77777777" w:rsidR="0094084C" w:rsidRPr="00263CB7" w:rsidRDefault="0094084C" w:rsidP="004B07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1A2D59A3" w14:textId="77777777" w:rsidR="0094084C" w:rsidRPr="00263CB7" w:rsidRDefault="0094084C" w:rsidP="004B07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D150D" w:rsidRPr="00263CB7" w14:paraId="488B4D92" w14:textId="07824124" w:rsidTr="0094084C">
        <w:trPr>
          <w:trHeight w:val="228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1AE18" w14:textId="77777777" w:rsidR="007D150D" w:rsidRPr="00263CB7" w:rsidRDefault="007D150D" w:rsidP="007D1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C6086B2" w14:textId="77777777" w:rsidR="007D150D" w:rsidRPr="00263CB7" w:rsidRDefault="007D150D" w:rsidP="007D15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14:paraId="43888192" w14:textId="2DC4AA7B" w:rsidR="007D150D" w:rsidRPr="00263CB7" w:rsidRDefault="007D150D" w:rsidP="007D1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b/>
                <w:sz w:val="24"/>
                <w:szCs w:val="24"/>
              </w:rPr>
              <w:t>2019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14:paraId="66DFA2D1" w14:textId="0E002C0D" w:rsidR="007D150D" w:rsidRPr="00263CB7" w:rsidRDefault="007D150D" w:rsidP="007D1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2020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14:paraId="2C761188" w14:textId="0C986800" w:rsidR="007D150D" w:rsidRPr="00263CB7" w:rsidRDefault="007D150D" w:rsidP="007D1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2021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62830B" w14:textId="50559949" w:rsidR="007D150D" w:rsidRDefault="007D150D" w:rsidP="007D1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2022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14:paraId="2B09B3E8" w14:textId="370AA7E2" w:rsidR="007D150D" w:rsidRPr="00263CB7" w:rsidRDefault="007D150D" w:rsidP="007D1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2023</w:t>
            </w:r>
          </w:p>
        </w:tc>
      </w:tr>
      <w:tr w:rsidR="007D150D" w:rsidRPr="00263CB7" w14:paraId="2EB03C39" w14:textId="2E479D1B" w:rsidTr="0094084C">
        <w:trPr>
          <w:trHeight w:val="228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14:paraId="232BB89A" w14:textId="77777777" w:rsidR="007D150D" w:rsidRPr="00263CB7" w:rsidRDefault="007D150D" w:rsidP="007D150D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63CB7">
              <w:rPr>
                <w:rFonts w:ascii="Arial" w:hAnsi="Arial" w:cs="Arial"/>
                <w:b/>
                <w:sz w:val="24"/>
                <w:szCs w:val="24"/>
              </w:rPr>
              <w:t>Type of Event</w:t>
            </w:r>
          </w:p>
          <w:p w14:paraId="5F55A843" w14:textId="77777777" w:rsidR="007D150D" w:rsidRPr="00263CB7" w:rsidRDefault="007D150D" w:rsidP="007D150D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4F4A5" w14:textId="77777777" w:rsidR="007D150D" w:rsidRPr="00263CB7" w:rsidRDefault="007D150D" w:rsidP="007D15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hAnsi="Arial" w:cs="Arial"/>
                <w:sz w:val="24"/>
                <w:szCs w:val="24"/>
              </w:rPr>
              <w:t>PARR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6B0B7" w14:textId="34B13864" w:rsidR="007D150D" w:rsidRPr="00263CB7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60F48" w14:textId="27EAAE7B" w:rsidR="007D150D" w:rsidRPr="00263CB7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1CD8" w14:textId="04DE3841" w:rsidR="007D150D" w:rsidRPr="00263CB7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74C3" w14:textId="7017514D" w:rsidR="007D150D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D5C6" w14:textId="676D72C4" w:rsidR="007D150D" w:rsidRPr="00263CB7" w:rsidRDefault="00274066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7D150D" w:rsidRPr="00263CB7" w14:paraId="0E1D46E6" w14:textId="46AFD2EA" w:rsidTr="0094084C">
        <w:trPr>
          <w:trHeight w:val="228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032190" w14:textId="77777777" w:rsidR="007D150D" w:rsidRPr="00263CB7" w:rsidRDefault="007D150D" w:rsidP="007D1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B5666" w14:textId="77777777" w:rsidR="007D150D" w:rsidRPr="00263CB7" w:rsidRDefault="007D150D" w:rsidP="007D15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hAnsi="Arial" w:cs="Arial"/>
                <w:sz w:val="24"/>
                <w:szCs w:val="24"/>
              </w:rPr>
              <w:t>PARR-IND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FE5C7" w14:textId="3ECC1426" w:rsidR="007D150D" w:rsidRPr="00263CB7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F0333" w14:textId="14BAB32E" w:rsidR="007D150D" w:rsidRPr="00263CB7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7166" w14:textId="03E46196" w:rsidR="007D150D" w:rsidRPr="00263CB7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B5A2" w14:textId="39E4CEA3" w:rsidR="007D150D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782" w14:textId="529F78DE" w:rsidR="007D150D" w:rsidRPr="00263CB7" w:rsidRDefault="00274066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7D150D" w:rsidRPr="00263CB7" w14:paraId="27692596" w14:textId="12679187" w:rsidTr="0094084C">
        <w:trPr>
          <w:trHeight w:val="228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35AE2A" w14:textId="77777777" w:rsidR="007D150D" w:rsidRPr="00263CB7" w:rsidRDefault="007D150D" w:rsidP="007D1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7351B" w14:textId="77777777" w:rsidR="007D150D" w:rsidRPr="00263CB7" w:rsidRDefault="007D150D" w:rsidP="007D15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hAnsi="Arial" w:cs="Arial"/>
                <w:sz w:val="24"/>
                <w:szCs w:val="24"/>
              </w:rPr>
              <w:t>PARR-IDE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FD1F0" w14:textId="0F8C9A0B" w:rsidR="007D150D" w:rsidRPr="00263CB7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5B449" w14:textId="786600DA" w:rsidR="007D150D" w:rsidRPr="00263CB7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3507" w14:textId="170BC6BD" w:rsidR="007D150D" w:rsidRPr="00263CB7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CF99" w14:textId="12CB3A15" w:rsidR="007D150D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9FB7" w14:textId="2C8CF759" w:rsidR="007D150D" w:rsidRPr="00263CB7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7D150D" w:rsidRPr="00263CB7" w14:paraId="63F73CA7" w14:textId="726A07BE" w:rsidTr="0094084C">
        <w:trPr>
          <w:trHeight w:val="228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D3AF62" w14:textId="77777777" w:rsidR="007D150D" w:rsidRPr="00263CB7" w:rsidRDefault="007D150D" w:rsidP="007D1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BE571" w14:textId="77777777" w:rsidR="007D150D" w:rsidRPr="00263CB7" w:rsidRDefault="007D150D" w:rsidP="007D15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hAnsi="Arial" w:cs="Arial"/>
                <w:sz w:val="24"/>
                <w:szCs w:val="24"/>
              </w:rPr>
              <w:t>IND/IDE/HGT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B2D9" w14:textId="59C78F5C" w:rsidR="007D150D" w:rsidRPr="00263CB7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71CFA" w14:textId="6F152D85" w:rsidR="007D150D" w:rsidRPr="00263CB7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8892" w14:textId="467848BC" w:rsidR="007D150D" w:rsidRPr="00263CB7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76A8" w14:textId="6AD196BC" w:rsidR="007D150D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032D" w14:textId="77E216E7" w:rsidR="007D150D" w:rsidRPr="00263CB7" w:rsidRDefault="00274066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7D150D" w:rsidRPr="00263CB7" w14:paraId="22A17670" w14:textId="765EB8A0" w:rsidTr="0094084C">
        <w:trPr>
          <w:trHeight w:val="228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DEB700" w14:textId="77777777" w:rsidR="007D150D" w:rsidRPr="00263CB7" w:rsidRDefault="007D150D" w:rsidP="007D1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F36CB" w14:textId="77777777" w:rsidR="007D150D" w:rsidRPr="00263CB7" w:rsidRDefault="007D150D" w:rsidP="007D15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hAnsi="Arial" w:cs="Arial"/>
                <w:sz w:val="24"/>
                <w:szCs w:val="24"/>
              </w:rPr>
              <w:t>PAM &amp; Ed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E0686" w14:textId="19DB62F9" w:rsidR="007D150D" w:rsidRPr="00263CB7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sz w:val="24"/>
                <w:szCs w:val="24"/>
              </w:rPr>
              <w:t>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D3A7E" w14:textId="4AC3D2DE" w:rsidR="007D150D" w:rsidRPr="00263CB7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B855" w14:textId="47C22DB6" w:rsidR="007D150D" w:rsidRPr="00263CB7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69D5" w14:textId="3246C99A" w:rsidR="007D150D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C5D1" w14:textId="5927B32E" w:rsidR="007D150D" w:rsidRPr="00263CB7" w:rsidRDefault="00274066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31</w:t>
            </w:r>
          </w:p>
        </w:tc>
      </w:tr>
      <w:tr w:rsidR="007D150D" w:rsidRPr="00263CB7" w14:paraId="09AA7D74" w14:textId="18FAA7CA" w:rsidTr="0094084C">
        <w:trPr>
          <w:trHeight w:val="228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496D32" w14:textId="77777777" w:rsidR="007D150D" w:rsidRPr="00263CB7" w:rsidRDefault="007D150D" w:rsidP="007D1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EEE15" w14:textId="77777777" w:rsidR="007D150D" w:rsidRPr="00263CB7" w:rsidRDefault="007D150D" w:rsidP="007D15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hAnsi="Arial" w:cs="Arial"/>
                <w:sz w:val="24"/>
                <w:szCs w:val="24"/>
              </w:rPr>
              <w:t>Directed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61EC" w14:textId="7BEF4243" w:rsidR="007D150D" w:rsidRPr="00263CB7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380B7" w14:textId="0DC2238F" w:rsidR="007D150D" w:rsidRPr="00263CB7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A832" w14:textId="4520C59B" w:rsidR="007D150D" w:rsidRPr="00263CB7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86B3" w14:textId="46C723AA" w:rsidR="007D150D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A116" w14:textId="16CC6855" w:rsidR="007D150D" w:rsidRPr="00263CB7" w:rsidRDefault="00274066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</w:tr>
      <w:tr w:rsidR="007D150D" w:rsidRPr="00263CB7" w14:paraId="2A5C8202" w14:textId="1D47A562" w:rsidTr="0094084C">
        <w:trPr>
          <w:trHeight w:val="228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9B8535" w14:textId="77777777" w:rsidR="007D150D" w:rsidRPr="00263CB7" w:rsidRDefault="007D150D" w:rsidP="007D1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239B1" w14:textId="77777777" w:rsidR="007D150D" w:rsidRPr="00263CB7" w:rsidRDefault="007D150D" w:rsidP="007D15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hAnsi="Arial" w:cs="Arial"/>
                <w:sz w:val="24"/>
                <w:szCs w:val="24"/>
              </w:rPr>
              <w:t>SPI-FA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D7645" w14:textId="5CB5DFB3" w:rsidR="007D150D" w:rsidRPr="00263CB7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sz w:val="24"/>
                <w:szCs w:val="24"/>
              </w:rPr>
              <w:t>39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F1BF1" w14:textId="5193BB05" w:rsidR="007D150D" w:rsidRPr="00263CB7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D574" w14:textId="19E74387" w:rsidR="007D150D" w:rsidRPr="00263CB7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757E" w14:textId="6DE25E08" w:rsidR="007D150D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52A7" w14:textId="4CC259FC" w:rsidR="007D150D" w:rsidRPr="00263CB7" w:rsidRDefault="00274066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52</w:t>
            </w:r>
          </w:p>
        </w:tc>
      </w:tr>
      <w:tr w:rsidR="007D150D" w:rsidRPr="00263CB7" w14:paraId="0A6F56AF" w14:textId="018FB766" w:rsidTr="0094084C">
        <w:trPr>
          <w:trHeight w:val="228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F4496A" w14:textId="77777777" w:rsidR="007D150D" w:rsidRPr="00263CB7" w:rsidRDefault="007D150D" w:rsidP="007D1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1344F" w14:textId="77777777" w:rsidR="007D150D" w:rsidRPr="00263CB7" w:rsidRDefault="007D150D" w:rsidP="007D15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hAnsi="Arial" w:cs="Arial"/>
                <w:sz w:val="24"/>
                <w:szCs w:val="24"/>
              </w:rPr>
              <w:t>Exempt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A97C7" w14:textId="10FEEF2A" w:rsidR="007D150D" w:rsidRPr="00263CB7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sz w:val="24"/>
                <w:szCs w:val="24"/>
              </w:rPr>
              <w:t>43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D870F" w14:textId="2617602A" w:rsidR="007D150D" w:rsidRPr="00263CB7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1528" w14:textId="0F78E764" w:rsidR="007D150D" w:rsidRPr="00263CB7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91C6" w14:textId="5319B215" w:rsidR="007D150D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78A9" w14:textId="25B65A36" w:rsidR="007D150D" w:rsidRPr="00263CB7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7D150D" w:rsidRPr="00263CB7" w14:paraId="4DF1628A" w14:textId="78D08C23" w:rsidTr="0094084C">
        <w:trPr>
          <w:trHeight w:val="228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5D1F0F" w14:textId="77777777" w:rsidR="007D150D" w:rsidRPr="00263CB7" w:rsidRDefault="007D150D" w:rsidP="007D1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D7816" w14:textId="77777777" w:rsidR="007D150D" w:rsidRPr="00263CB7" w:rsidRDefault="007D150D" w:rsidP="007D15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hAnsi="Arial" w:cs="Arial"/>
                <w:sz w:val="24"/>
                <w:szCs w:val="24"/>
              </w:rPr>
              <w:t>DoD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BDA27" w14:textId="575BFB60" w:rsidR="007D150D" w:rsidRPr="00263CB7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CE80D" w14:textId="4356BED5" w:rsidR="007D150D" w:rsidRPr="00263CB7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2B69" w14:textId="4D311B69" w:rsidR="007D150D" w:rsidRPr="00263CB7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A68B" w14:textId="3291FBD8" w:rsidR="007D150D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0E83" w14:textId="6D782FB2" w:rsidR="007D150D" w:rsidRPr="00263CB7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7D150D" w:rsidRPr="00263CB7" w14:paraId="1B9A0A3D" w14:textId="77777777" w:rsidTr="0094084C">
        <w:trPr>
          <w:trHeight w:val="228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2DE4B3" w14:textId="77777777" w:rsidR="007D150D" w:rsidRPr="00263CB7" w:rsidRDefault="007D150D" w:rsidP="007D1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B891D" w14:textId="6A4857F3" w:rsidR="007D150D" w:rsidRPr="00263CB7" w:rsidRDefault="007D150D" w:rsidP="007D15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Internal Audit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7C819" w14:textId="6DA9B710" w:rsidR="007D150D" w:rsidRPr="00263CB7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42127" w14:textId="260E8042" w:rsidR="007D150D" w:rsidRPr="00263CB7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A63E" w14:textId="637CE4DA" w:rsidR="007D150D" w:rsidRPr="00263CB7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2901" w14:textId="2DD7707B" w:rsidR="007D150D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6088" w14:textId="18919B1E" w:rsidR="007D150D" w:rsidRPr="00263CB7" w:rsidRDefault="00274066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7D150D" w:rsidRPr="00263CB7" w14:paraId="4BAF0BAE" w14:textId="6B42A98E" w:rsidTr="0094084C">
        <w:trPr>
          <w:trHeight w:val="228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5E2AAA" w14:textId="77777777" w:rsidR="007D150D" w:rsidRPr="00263CB7" w:rsidRDefault="007D150D" w:rsidP="007D1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79020" w14:textId="77777777" w:rsidR="007D150D" w:rsidRPr="00263CB7" w:rsidRDefault="007D150D" w:rsidP="007D15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63CB7">
              <w:rPr>
                <w:rFonts w:ascii="Arial" w:hAnsi="Arial" w:cs="Arial"/>
                <w:sz w:val="24"/>
                <w:szCs w:val="24"/>
              </w:rPr>
              <w:t>Umbrella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DC50F" w14:textId="3383FB31" w:rsidR="007D150D" w:rsidRPr="00263CB7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B0A9" w14:textId="185CE901" w:rsidR="007D150D" w:rsidRPr="00263CB7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FF90" w14:textId="679E28EC" w:rsidR="007D150D" w:rsidRPr="00263CB7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3A7F" w14:textId="1C38488C" w:rsidR="007D150D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9110" w14:textId="6D86F04A" w:rsidR="007D150D" w:rsidRPr="00263CB7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7D150D" w:rsidRPr="00263CB7" w14:paraId="3060BF01" w14:textId="77777777" w:rsidTr="0094084C">
        <w:trPr>
          <w:trHeight w:val="22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220C82" w14:textId="77777777" w:rsidR="007D150D" w:rsidRPr="00263CB7" w:rsidRDefault="007D150D" w:rsidP="007D1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6A83A" w14:textId="783F6E4B" w:rsidR="007D150D" w:rsidRPr="00263CB7" w:rsidRDefault="007D150D" w:rsidP="007D15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By Request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07A1C" w14:textId="67EC2016" w:rsidR="007D150D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95120" w14:textId="25FCBAF8" w:rsidR="007D150D" w:rsidRPr="00263CB7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1802" w14:textId="150140DB" w:rsidR="007D150D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E754" w14:textId="68B8A31C" w:rsidR="007D150D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8337" w14:textId="2BF11A33" w:rsidR="007D150D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7D150D" w:rsidRPr="00263CB7" w14:paraId="009F4F39" w14:textId="0E1D02FC" w:rsidTr="0094084C">
        <w:trPr>
          <w:trHeight w:val="22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600049" w14:textId="77777777" w:rsidR="007D150D" w:rsidRPr="00263CB7" w:rsidRDefault="007D150D" w:rsidP="007D1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79D7B" w14:textId="77777777" w:rsidR="007D150D" w:rsidRPr="00263CB7" w:rsidRDefault="007D150D" w:rsidP="007D15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63CB7">
              <w:rPr>
                <w:rFonts w:ascii="Arial" w:hAnsi="Arial" w:cs="Arial"/>
                <w:sz w:val="24"/>
                <w:szCs w:val="24"/>
              </w:rPr>
              <w:t>EPIC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A969A" w14:textId="20720373" w:rsidR="007D150D" w:rsidRPr="00263CB7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065F0" w14:textId="4DBAC8C7" w:rsidR="007D150D" w:rsidRPr="00263CB7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99C8" w14:textId="76915531" w:rsidR="007D150D" w:rsidRPr="00263CB7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FD77" w14:textId="41B49745" w:rsidR="007D150D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2DE1" w14:textId="3279FE78" w:rsidR="007D150D" w:rsidRPr="00263CB7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7D150D" w:rsidRPr="00263CB7" w14:paraId="0E8F1A97" w14:textId="76D4CA48" w:rsidTr="0094084C">
        <w:trPr>
          <w:trHeight w:val="228"/>
        </w:trPr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AEEEB5" w14:textId="77777777" w:rsidR="007D150D" w:rsidRPr="00263CB7" w:rsidRDefault="007D150D" w:rsidP="007D15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88E04" w14:textId="77777777" w:rsidR="007D150D" w:rsidRPr="00263CB7" w:rsidRDefault="007D150D" w:rsidP="007D1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63CB7">
              <w:rPr>
                <w:rFonts w:ascii="Arial" w:hAnsi="Arial" w:cs="Arial"/>
                <w:b/>
                <w:sz w:val="24"/>
                <w:szCs w:val="24"/>
              </w:rPr>
              <w:t>Yearly Total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8DEC7" w14:textId="78186868" w:rsidR="007D150D" w:rsidRPr="00263CB7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77918" w14:textId="18291AF4" w:rsidR="007D150D" w:rsidRPr="00263CB7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70D9" w14:textId="030D887F" w:rsidR="007D150D" w:rsidRPr="00263CB7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95C3" w14:textId="061ED398" w:rsidR="007D150D" w:rsidRDefault="007D150D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192D" w14:textId="3E4B2624" w:rsidR="007D150D" w:rsidRPr="00263CB7" w:rsidRDefault="001E3C9C" w:rsidP="00870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99*</w:t>
            </w:r>
          </w:p>
        </w:tc>
      </w:tr>
    </w:tbl>
    <w:p w14:paraId="1B32E1B5" w14:textId="77777777" w:rsidR="001E3C9C" w:rsidRDefault="001E3C9C" w:rsidP="001E3C9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2FBB9BF" w14:textId="2DC289F2" w:rsidR="00C23352" w:rsidRPr="001E3C9C" w:rsidRDefault="001E3C9C" w:rsidP="001E3C9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E3C9C">
        <w:rPr>
          <w:rFonts w:ascii="Arial" w:hAnsi="Arial" w:cs="Arial"/>
          <w:bCs/>
          <w:sz w:val="24"/>
          <w:szCs w:val="24"/>
        </w:rPr>
        <w:t>*There were an additional 3 monitoring events in 2023 (2 FDA audits; 1 IDHHS audit)</w:t>
      </w:r>
    </w:p>
    <w:p w14:paraId="59CD3383" w14:textId="77777777" w:rsidR="001E3C9C" w:rsidRPr="00263CB7" w:rsidRDefault="001E3C9C" w:rsidP="00C23352">
      <w:pPr>
        <w:spacing w:line="240" w:lineRule="auto"/>
        <w:rPr>
          <w:rFonts w:ascii="Arial" w:hAnsi="Arial" w:cs="Arial"/>
          <w:b/>
          <w:sz w:val="24"/>
          <w:szCs w:val="24"/>
        </w:rPr>
      </w:pPr>
    </w:p>
    <w:bookmarkEnd w:id="0"/>
    <w:p w14:paraId="07614100" w14:textId="77777777" w:rsidR="006466DA" w:rsidRDefault="00C23352" w:rsidP="00C23352">
      <w:pPr>
        <w:spacing w:line="240" w:lineRule="auto"/>
        <w:rPr>
          <w:rFonts w:ascii="Arial" w:hAnsi="Arial" w:cs="Arial"/>
          <w:sz w:val="24"/>
          <w:szCs w:val="24"/>
        </w:rPr>
      </w:pPr>
      <w:r w:rsidRPr="00263CB7">
        <w:rPr>
          <w:rFonts w:ascii="Arial" w:hAnsi="Arial" w:cs="Arial"/>
          <w:b/>
          <w:sz w:val="24"/>
          <w:szCs w:val="24"/>
        </w:rPr>
        <w:t>Figure 1 below illustrates the number of monitoring</w:t>
      </w:r>
      <w:r w:rsidRPr="00263CB7">
        <w:rPr>
          <w:rFonts w:ascii="Arial" w:hAnsi="Arial" w:cs="Arial"/>
          <w:b/>
          <w:color w:val="538135" w:themeColor="accent6" w:themeShade="BF"/>
          <w:sz w:val="24"/>
          <w:szCs w:val="24"/>
        </w:rPr>
        <w:t xml:space="preserve"> </w:t>
      </w:r>
      <w:r w:rsidRPr="00263CB7">
        <w:rPr>
          <w:rFonts w:ascii="Arial" w:hAnsi="Arial" w:cs="Arial"/>
          <w:b/>
          <w:sz w:val="24"/>
          <w:szCs w:val="24"/>
        </w:rPr>
        <w:t xml:space="preserve">events completed by year since </w:t>
      </w:r>
      <w:proofErr w:type="gramStart"/>
      <w:r w:rsidRPr="00263CB7">
        <w:rPr>
          <w:rFonts w:ascii="Arial" w:hAnsi="Arial" w:cs="Arial"/>
          <w:b/>
          <w:sz w:val="24"/>
          <w:szCs w:val="24"/>
        </w:rPr>
        <w:t>201</w:t>
      </w:r>
      <w:r w:rsidR="007D150D">
        <w:rPr>
          <w:rFonts w:ascii="Arial" w:hAnsi="Arial" w:cs="Arial"/>
          <w:b/>
          <w:sz w:val="24"/>
          <w:szCs w:val="24"/>
        </w:rPr>
        <w:t>9</w:t>
      </w:r>
      <w:proofErr w:type="gramEnd"/>
      <w:r w:rsidRPr="00263CB7">
        <w:rPr>
          <w:rFonts w:ascii="Arial" w:hAnsi="Arial" w:cs="Arial"/>
          <w:b/>
          <w:sz w:val="24"/>
          <w:szCs w:val="24"/>
        </w:rPr>
        <w:t xml:space="preserve"> </w:t>
      </w:r>
      <w:r w:rsidRPr="00263CB7">
        <w:rPr>
          <w:rFonts w:ascii="Arial" w:hAnsi="Arial" w:cs="Arial"/>
          <w:sz w:val="24"/>
          <w:szCs w:val="24"/>
        </w:rPr>
        <w:t xml:space="preserve"> </w:t>
      </w:r>
    </w:p>
    <w:p w14:paraId="6690820B" w14:textId="77777777" w:rsidR="006466DA" w:rsidRDefault="006466DA" w:rsidP="00C23352">
      <w:pPr>
        <w:spacing w:line="240" w:lineRule="auto"/>
        <w:rPr>
          <w:rFonts w:ascii="Arial" w:hAnsi="Arial" w:cs="Arial"/>
          <w:sz w:val="24"/>
          <w:szCs w:val="24"/>
        </w:rPr>
      </w:pPr>
    </w:p>
    <w:p w14:paraId="2819739A" w14:textId="3907428A" w:rsidR="00C23352" w:rsidRPr="00263CB7" w:rsidRDefault="006466DA" w:rsidP="00C2335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D88931D" wp14:editId="390CBA79">
            <wp:extent cx="6807200" cy="3416300"/>
            <wp:effectExtent l="0" t="0" r="12700" b="12700"/>
            <wp:docPr id="77129549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266EEEB-5CD7-88B9-5CE1-53F65D45EE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374AA97" w14:textId="493442A6" w:rsidR="00C23352" w:rsidRPr="006D53C6" w:rsidRDefault="00C23352" w:rsidP="00C23352">
      <w:pPr>
        <w:spacing w:line="240" w:lineRule="auto"/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5F7DA2B5" w14:textId="4F7EF289" w:rsidR="00C23352" w:rsidRPr="00263CB7" w:rsidRDefault="00C23352" w:rsidP="00C23352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263CB7">
        <w:rPr>
          <w:rFonts w:ascii="Arial" w:hAnsi="Arial" w:cs="Arial"/>
          <w:b/>
          <w:sz w:val="24"/>
          <w:szCs w:val="24"/>
        </w:rPr>
        <w:t>Table 5:  Total Monitoring Event Type by Board Type: 201</w:t>
      </w:r>
      <w:r w:rsidR="00422377">
        <w:rPr>
          <w:rFonts w:ascii="Arial" w:hAnsi="Arial" w:cs="Arial"/>
          <w:b/>
          <w:sz w:val="24"/>
          <w:szCs w:val="24"/>
        </w:rPr>
        <w:t>9</w:t>
      </w:r>
      <w:r w:rsidRPr="00263CB7">
        <w:rPr>
          <w:rFonts w:ascii="Arial" w:hAnsi="Arial" w:cs="Arial"/>
          <w:b/>
          <w:sz w:val="24"/>
          <w:szCs w:val="24"/>
        </w:rPr>
        <w:t xml:space="preserve"> – 20</w:t>
      </w:r>
      <w:r w:rsidR="00313950">
        <w:rPr>
          <w:rFonts w:ascii="Arial" w:hAnsi="Arial" w:cs="Arial"/>
          <w:b/>
          <w:sz w:val="24"/>
          <w:szCs w:val="24"/>
        </w:rPr>
        <w:t>2</w:t>
      </w:r>
      <w:r w:rsidR="001C3F48">
        <w:rPr>
          <w:rFonts w:ascii="Arial" w:hAnsi="Arial" w:cs="Arial"/>
          <w:b/>
          <w:sz w:val="24"/>
          <w:szCs w:val="24"/>
        </w:rPr>
        <w:t>3</w:t>
      </w:r>
    </w:p>
    <w:p w14:paraId="71D7EFB0" w14:textId="77777777" w:rsidR="00C23352" w:rsidRPr="00263CB7" w:rsidRDefault="00C23352" w:rsidP="00C233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9900" w:type="dxa"/>
        <w:tblInd w:w="-10" w:type="dxa"/>
        <w:tblLook w:val="04A0" w:firstRow="1" w:lastRow="0" w:firstColumn="1" w:lastColumn="0" w:noHBand="0" w:noVBand="1"/>
      </w:tblPr>
      <w:tblGrid>
        <w:gridCol w:w="1083"/>
        <w:gridCol w:w="1805"/>
        <w:gridCol w:w="1082"/>
        <w:gridCol w:w="1081"/>
        <w:gridCol w:w="1346"/>
        <w:gridCol w:w="1081"/>
        <w:gridCol w:w="1081"/>
        <w:gridCol w:w="1341"/>
      </w:tblGrid>
      <w:tr w:rsidR="00C23352" w:rsidRPr="00263CB7" w14:paraId="0A8C1B0F" w14:textId="77777777" w:rsidTr="004B07B1">
        <w:trPr>
          <w:trHeight w:val="297"/>
        </w:trPr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2F66" w14:textId="77777777" w:rsidR="00C23352" w:rsidRPr="00263CB7" w:rsidRDefault="00C23352" w:rsidP="004B0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044A" w14:textId="77777777" w:rsidR="00C23352" w:rsidRPr="00263CB7" w:rsidRDefault="00C23352" w:rsidP="004B0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07C7797B" w14:textId="77777777" w:rsidR="00C23352" w:rsidRPr="00263CB7" w:rsidRDefault="00C23352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Number of Studies per Board per Year</w:t>
            </w:r>
          </w:p>
        </w:tc>
      </w:tr>
      <w:tr w:rsidR="00C23352" w:rsidRPr="00263CB7" w14:paraId="5DB31918" w14:textId="77777777" w:rsidTr="004B07B1">
        <w:trPr>
          <w:trHeight w:val="297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CAD8" w14:textId="77777777" w:rsidR="00C23352" w:rsidRPr="00263CB7" w:rsidRDefault="00C23352" w:rsidP="004B0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8362" w14:textId="77777777" w:rsidR="00C23352" w:rsidRPr="00263CB7" w:rsidRDefault="00C23352" w:rsidP="004B0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2B4D01F2" w14:textId="77777777" w:rsidR="00C23352" w:rsidRPr="00263CB7" w:rsidRDefault="00C23352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IRB - 01</w:t>
            </w: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14:paraId="4450755C" w14:textId="77777777" w:rsidR="00C23352" w:rsidRPr="00263CB7" w:rsidRDefault="00C23352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IRB-02</w:t>
            </w:r>
          </w:p>
        </w:tc>
      </w:tr>
      <w:tr w:rsidR="001C3F48" w:rsidRPr="00263CB7" w14:paraId="1954AE81" w14:textId="77777777" w:rsidTr="004B07B1">
        <w:trPr>
          <w:trHeight w:val="297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D6A348" w14:textId="77777777" w:rsidR="001C3F48" w:rsidRPr="00263CB7" w:rsidRDefault="001C3F48" w:rsidP="001C3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2DAC5" w14:textId="77777777" w:rsidR="001C3F48" w:rsidRPr="00263CB7" w:rsidRDefault="001C3F48" w:rsidP="001C3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F9AB2" w14:textId="771C91B6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E846B" w14:textId="3C773B1C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AC9F9" w14:textId="4AF6540D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32BC5" w14:textId="70C79C28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332E5B" w14:textId="0CFFD5A4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865AC3" w14:textId="3996E373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  <w:tr w:rsidR="001C3F48" w:rsidRPr="00263CB7" w14:paraId="1B078025" w14:textId="77777777" w:rsidTr="004B07B1">
        <w:trPr>
          <w:trHeight w:val="297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B73F29" w14:textId="77777777" w:rsidR="001C3F48" w:rsidRPr="00263CB7" w:rsidRDefault="001C3F48" w:rsidP="001C3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FFDA" w14:textId="77777777" w:rsidR="001C3F48" w:rsidRPr="00263CB7" w:rsidRDefault="001C3F48" w:rsidP="001C3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PARR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A46FC" w14:textId="7AC8EF90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1DD87" w14:textId="2A5A9F37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C75C9" w14:textId="34AD22A4" w:rsidR="001C3F48" w:rsidRPr="00263CB7" w:rsidRDefault="00EE0B73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F7B10" w14:textId="03876D21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30BC87" w14:textId="21439EE1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BD44DB" w14:textId="77777777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1C3F48" w:rsidRPr="00263CB7" w14:paraId="6B9D41DF" w14:textId="77777777" w:rsidTr="004B07B1">
        <w:trPr>
          <w:trHeight w:val="297"/>
        </w:trPr>
        <w:tc>
          <w:tcPr>
            <w:tcW w:w="108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CBDC4B" w14:textId="77777777" w:rsidR="001C3F48" w:rsidRPr="00263CB7" w:rsidRDefault="001C3F48" w:rsidP="001C3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0828A7D" wp14:editId="7B0798FA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-1313815</wp:posOffset>
                      </wp:positionV>
                      <wp:extent cx="434975" cy="1158240"/>
                      <wp:effectExtent l="0" t="0" r="0" b="0"/>
                      <wp:wrapNone/>
                      <wp:docPr id="1165" name="Text Box 1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975" cy="11582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6B19A5C3" w14:textId="77777777" w:rsidR="001C3F48" w:rsidRDefault="001C3F48" w:rsidP="00C23352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cstheme="minorBidi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Type of Visit</w:t>
                                  </w:r>
                                </w:p>
                              </w:txbxContent>
                            </wps:txbx>
                            <wps:bodyPr vertOverflow="clip" horzOverflow="clip" vert="vert270" wrap="squar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828A7D" id="Text Box 1165" o:spid="_x0000_s1029" type="#_x0000_t202" style="position:absolute;margin-left:8.5pt;margin-top:-103.45pt;width:34.25pt;height:91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" filled="f" stroked="f">
                      <v:textbox style="layout-flow:vertical;mso-layout-flow-alt:bottom-to-top;mso-fit-shape-to-text:t">
                        <w:txbxContent>
                          <w:p w14:paraId="6B19A5C3" w14:textId="77777777" w:rsidR="001C3F48" w:rsidRDefault="001C3F48" w:rsidP="00C2335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cs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Type of Visit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DC58" w14:textId="77777777" w:rsidR="001C3F48" w:rsidRPr="00263CB7" w:rsidRDefault="001C3F48" w:rsidP="001C3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PARR-IND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81786" w14:textId="5B3FADAD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B5DC0" w14:textId="786985CA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86213" w14:textId="11E485EF" w:rsidR="001C3F48" w:rsidRPr="00263CB7" w:rsidRDefault="00EE0B73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725C7" w14:textId="4FDDBF9C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129F3" w14:textId="45A72961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B2FCE9" w14:textId="77777777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1C3F48" w:rsidRPr="00263CB7" w14:paraId="221C8AA0" w14:textId="77777777" w:rsidTr="004B07B1">
        <w:trPr>
          <w:trHeight w:val="297"/>
        </w:trPr>
        <w:tc>
          <w:tcPr>
            <w:tcW w:w="108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F4EFF1" w14:textId="77777777" w:rsidR="001C3F48" w:rsidRPr="00263CB7" w:rsidRDefault="001C3F48" w:rsidP="001C3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A1A0" w14:textId="77777777" w:rsidR="001C3F48" w:rsidRPr="00263CB7" w:rsidRDefault="001C3F48" w:rsidP="001C3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PARR-IDE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6765A" w14:textId="13B94384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74505" w14:textId="0B7427F9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FA111" w14:textId="77777777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2D142" w14:textId="36F964C3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02A0C6" w14:textId="1E1223A0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DEB6ED" w14:textId="77777777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1C3F48" w:rsidRPr="00263CB7" w14:paraId="6014F057" w14:textId="77777777" w:rsidTr="004B07B1">
        <w:trPr>
          <w:trHeight w:val="297"/>
        </w:trPr>
        <w:tc>
          <w:tcPr>
            <w:tcW w:w="108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FEDE83" w14:textId="77777777" w:rsidR="001C3F48" w:rsidRPr="00263CB7" w:rsidRDefault="001C3F48" w:rsidP="001C3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1EE2" w14:textId="77777777" w:rsidR="001C3F48" w:rsidRPr="00263CB7" w:rsidRDefault="001C3F48" w:rsidP="001C3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IND/IDE/HGT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C8F08" w14:textId="3EAEF0CF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7F1F5" w14:textId="6CB10F26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A2BDA" w14:textId="2EB9A7F4" w:rsidR="001C3F48" w:rsidRPr="00263CB7" w:rsidRDefault="00EE0B73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1411C" w14:textId="080524EE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8B8CD6" w14:textId="1C08A30E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A6DA64" w14:textId="77777777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1C3F48" w:rsidRPr="00263CB7" w14:paraId="174DDA92" w14:textId="77777777" w:rsidTr="004B07B1">
        <w:trPr>
          <w:trHeight w:val="297"/>
        </w:trPr>
        <w:tc>
          <w:tcPr>
            <w:tcW w:w="108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55146C" w14:textId="77777777" w:rsidR="001C3F48" w:rsidRPr="00263CB7" w:rsidRDefault="001C3F48" w:rsidP="001C3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2C68" w14:textId="77777777" w:rsidR="001C3F48" w:rsidRPr="00263CB7" w:rsidRDefault="001C3F48" w:rsidP="001C3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PAM &amp; Ed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D5BF6" w14:textId="755EC670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DBF76" w14:textId="36A1E4AE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6FC91" w14:textId="6BF968CB" w:rsidR="001C3F48" w:rsidRPr="00263CB7" w:rsidRDefault="00756EBD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41354" w14:textId="2199009C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365062" w14:textId="284107BD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B6BBC2" w14:textId="6BAA8C13" w:rsidR="001C3F48" w:rsidRPr="00263CB7" w:rsidRDefault="00756EBD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1C3F48" w:rsidRPr="00263CB7" w14:paraId="4345F083" w14:textId="77777777" w:rsidTr="004B07B1">
        <w:trPr>
          <w:trHeight w:val="297"/>
        </w:trPr>
        <w:tc>
          <w:tcPr>
            <w:tcW w:w="108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C6C565" w14:textId="77777777" w:rsidR="001C3F48" w:rsidRPr="00263CB7" w:rsidRDefault="001C3F48" w:rsidP="001C3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6992" w14:textId="77777777" w:rsidR="001C3F48" w:rsidRPr="00263CB7" w:rsidRDefault="001C3F48" w:rsidP="001C3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Directed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1AA28" w14:textId="4754EFEF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98923" w14:textId="3F015419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EDDED" w14:textId="61F0A105" w:rsidR="001C3F48" w:rsidRPr="00263CB7" w:rsidRDefault="00756EBD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4C19C" w14:textId="6741AFEF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E468E4" w14:textId="5B86FE5F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98F042" w14:textId="21E82210" w:rsidR="001C3F48" w:rsidRPr="00263CB7" w:rsidRDefault="00756EBD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1C3F48" w:rsidRPr="00263CB7" w14:paraId="3032ECDE" w14:textId="77777777" w:rsidTr="004B07B1">
        <w:trPr>
          <w:trHeight w:val="297"/>
        </w:trPr>
        <w:tc>
          <w:tcPr>
            <w:tcW w:w="108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28B7F1" w14:textId="77777777" w:rsidR="001C3F48" w:rsidRPr="00263CB7" w:rsidRDefault="001C3F48" w:rsidP="001C3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7709" w14:textId="77777777" w:rsidR="001C3F48" w:rsidRPr="00263CB7" w:rsidRDefault="001C3F48" w:rsidP="001C3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SPI-FA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4700F" w14:textId="0699D29E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BB67B" w14:textId="48A379FF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46E04" w14:textId="08ACE976" w:rsidR="001C3F48" w:rsidRPr="00263CB7" w:rsidRDefault="00756EBD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D676A" w14:textId="023734AE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655726" w14:textId="05DE2249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CD4091" w14:textId="041A4F54" w:rsidR="001C3F48" w:rsidRPr="00263CB7" w:rsidRDefault="00756EBD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</w:tr>
      <w:tr w:rsidR="001C3F48" w:rsidRPr="00263CB7" w14:paraId="53D50FA3" w14:textId="77777777" w:rsidTr="004B07B1">
        <w:trPr>
          <w:trHeight w:val="297"/>
        </w:trPr>
        <w:tc>
          <w:tcPr>
            <w:tcW w:w="108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B5D398" w14:textId="77777777" w:rsidR="001C3F48" w:rsidRPr="00263CB7" w:rsidRDefault="001C3F48" w:rsidP="001C3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4AFB" w14:textId="6A8E8096" w:rsidR="001C3F48" w:rsidRPr="00263CB7" w:rsidRDefault="001C3F48" w:rsidP="001C3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DoD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05415" w14:textId="6450F150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1*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65564" w14:textId="565D4F89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693CD" w14:textId="08A7B548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0FB57" w14:textId="6E9A8481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96E03E" w14:textId="257A6DA8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2587BB" w14:textId="14A99420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1C3F48" w:rsidRPr="00263CB7" w14:paraId="4C4946ED" w14:textId="77777777" w:rsidTr="004B07B1">
        <w:trPr>
          <w:trHeight w:val="297"/>
        </w:trPr>
        <w:tc>
          <w:tcPr>
            <w:tcW w:w="108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C5C00D" w14:textId="77777777" w:rsidR="001C3F48" w:rsidRPr="00263CB7" w:rsidRDefault="001C3F48" w:rsidP="001C3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7269" w14:textId="77777777" w:rsidR="001C3F48" w:rsidRPr="00263CB7" w:rsidRDefault="001C3F48" w:rsidP="001C3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Not in </w:t>
            </w:r>
            <w:proofErr w:type="spellStart"/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HawkIRB</w:t>
            </w:r>
            <w:proofErr w:type="spellEnd"/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30F1E" w14:textId="0FD2E43E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7DE18" w14:textId="705C5F08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023A5" w14:textId="77777777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4647A" w14:textId="3CDD3DD1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0F9FF8" w14:textId="2B6F93B6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78CC7B" w14:textId="109776A8" w:rsidR="001C3F48" w:rsidRPr="00263CB7" w:rsidRDefault="00756EBD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1C3F48" w:rsidRPr="00263CB7" w14:paraId="39C17A52" w14:textId="77777777" w:rsidTr="004B07B1">
        <w:trPr>
          <w:trHeight w:val="297"/>
        </w:trPr>
        <w:tc>
          <w:tcPr>
            <w:tcW w:w="108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32CD70" w14:textId="77777777" w:rsidR="001C3F48" w:rsidRPr="00263CB7" w:rsidRDefault="001C3F48" w:rsidP="001C3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0545" w14:textId="2CE01889" w:rsidR="001C3F48" w:rsidRPr="00263CB7" w:rsidRDefault="00756EBD" w:rsidP="001C3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IDHHS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72220" w14:textId="55333067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4FB58" w14:textId="27FBFD54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B3105" w14:textId="7E3BBF86" w:rsidR="001C3F48" w:rsidRPr="00263CB7" w:rsidRDefault="00756EBD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43C52" w14:textId="149FD542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CAF5C6" w14:textId="6862987C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437A8E" w14:textId="35698F67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1C3F48" w:rsidRPr="00263CB7" w14:paraId="6D88E4B5" w14:textId="77777777" w:rsidTr="004B07B1">
        <w:trPr>
          <w:trHeight w:val="297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7E625F" w14:textId="77777777" w:rsidR="001C3F48" w:rsidRPr="00263CB7" w:rsidRDefault="001C3F48" w:rsidP="001C3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B465" w14:textId="1EB414A1" w:rsidR="001C3F48" w:rsidRPr="00263CB7" w:rsidRDefault="001C3F48" w:rsidP="001C3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FDA/EMA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57763" w14:textId="6B2AAEC6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1CBA2" w14:textId="4358DA9F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DE850" w14:textId="35D86B24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5EC1B" w14:textId="4A8601FF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8F6D45" w14:textId="3FDD8B90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5FE961" w14:textId="77777777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1C3F48" w:rsidRPr="00263CB7" w14:paraId="5F02D80F" w14:textId="77777777" w:rsidTr="004B07B1">
        <w:trPr>
          <w:trHeight w:val="297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BAF5FB" w14:textId="77777777" w:rsidR="001C3F48" w:rsidRPr="00263CB7" w:rsidRDefault="001C3F48" w:rsidP="001C3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6C56" w14:textId="77777777" w:rsidR="001C3F48" w:rsidRPr="00263CB7" w:rsidRDefault="001C3F48" w:rsidP="001C3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Exempt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7E408" w14:textId="066A24AF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3B0A4" w14:textId="0302ED9D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C6417" w14:textId="215BECCF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87808" w14:textId="7EC42874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91B529" w14:textId="29A83ECE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DF9FD1" w14:textId="1EF98663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1C3F48" w:rsidRPr="00263CB7" w14:paraId="58964654" w14:textId="77777777" w:rsidTr="004B07B1">
        <w:trPr>
          <w:trHeight w:val="297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27AE10" w14:textId="77777777" w:rsidR="001C3F48" w:rsidRPr="00263CB7" w:rsidRDefault="001C3F48" w:rsidP="001C3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D63E6" w14:textId="77777777" w:rsidR="001C3F48" w:rsidRPr="00263CB7" w:rsidRDefault="001C3F48" w:rsidP="001C3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Umbrella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E17FE" w14:textId="2E9857E2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B2FE9" w14:textId="5C7EEF05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9BFCE" w14:textId="0E835945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02A95" w14:textId="1EF8E0EB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4E93C8" w14:textId="47FC4E49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8850F3" w14:textId="77777777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1C3F48" w:rsidRPr="00263CB7" w14:paraId="52DFC212" w14:textId="77777777" w:rsidTr="004B07B1">
        <w:trPr>
          <w:trHeight w:val="297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A6453C4" w14:textId="77777777" w:rsidR="001C3F48" w:rsidRPr="00263CB7" w:rsidRDefault="001C3F48" w:rsidP="001C3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EE51A8" w14:textId="2DB14D02" w:rsidR="001C3F48" w:rsidRPr="00263CB7" w:rsidRDefault="001C3F48" w:rsidP="001C3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By Request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F7080" w14:textId="1ECBCDF5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BA981" w14:textId="6DE30109" w:rsidR="001C3F48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28CE2" w14:textId="6FE420B7" w:rsidR="001C3F48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39DD5" w14:textId="7A4CF9DB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5AC527" w14:textId="658A41A8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4A3BA9" w14:textId="158BB5B7" w:rsidR="001C3F48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1C3F48" w:rsidRPr="00263CB7" w14:paraId="4D463FEC" w14:textId="77777777" w:rsidTr="004B07B1">
        <w:trPr>
          <w:trHeight w:val="297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814EC5E" w14:textId="77777777" w:rsidR="001C3F48" w:rsidRPr="00263CB7" w:rsidRDefault="001C3F48" w:rsidP="001C3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BCA28B" w14:textId="56C67E4B" w:rsidR="001C3F48" w:rsidRPr="00263CB7" w:rsidRDefault="001C3F48" w:rsidP="001C3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WIRB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/External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4AAE0" w14:textId="2DC65A3E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C414C" w14:textId="3E6B1079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1C5FF" w14:textId="4947B88D" w:rsidR="001C3F48" w:rsidRPr="00263CB7" w:rsidRDefault="00756EBD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582C2" w14:textId="69C258C8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F60C03" w14:textId="051DD123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37D07D" w14:textId="0F16043F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1C3F48" w:rsidRPr="00263CB7" w14:paraId="40D205BE" w14:textId="77777777" w:rsidTr="004B07B1">
        <w:trPr>
          <w:trHeight w:val="310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2BE2" w14:textId="77777777" w:rsidR="001C3F48" w:rsidRPr="00263CB7" w:rsidRDefault="001C3F48" w:rsidP="001C3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4D34" w14:textId="77777777" w:rsidR="001C3F48" w:rsidRPr="00263CB7" w:rsidRDefault="001C3F48" w:rsidP="001C3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Total # by Board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57E08" w14:textId="09D65692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0F74F" w14:textId="3BDFA790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C7C06" w14:textId="248FB0D6" w:rsidR="001C3F48" w:rsidRPr="00263CB7" w:rsidRDefault="00756EBD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EC26E" w14:textId="0E94CAFF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45BE0C" w14:textId="0F34EFB5" w:rsidR="001C3F48" w:rsidRPr="00263CB7" w:rsidRDefault="001C3F48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987BCC" w14:textId="39A87365" w:rsidR="001C3F48" w:rsidRPr="00263CB7" w:rsidRDefault="00756EBD" w:rsidP="001C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  <w:r w:rsidR="001C3F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</w:tbl>
    <w:p w14:paraId="6889D7D9" w14:textId="77777777" w:rsidR="001C3F48" w:rsidRDefault="001C3F48" w:rsidP="001C3F4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4887851" w14:textId="77777777" w:rsidR="000B6624" w:rsidRDefault="00C23352" w:rsidP="000B66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63CB7">
        <w:rPr>
          <w:rFonts w:ascii="Arial" w:hAnsi="Arial" w:cs="Arial"/>
          <w:b/>
          <w:sz w:val="24"/>
          <w:szCs w:val="24"/>
        </w:rPr>
        <w:t>*</w:t>
      </w:r>
      <w:r w:rsidR="001C3F48">
        <w:rPr>
          <w:rFonts w:ascii="Arial" w:hAnsi="Arial" w:cs="Arial"/>
          <w:sz w:val="24"/>
          <w:szCs w:val="24"/>
        </w:rPr>
        <w:t xml:space="preserve"> </w:t>
      </w:r>
      <w:r w:rsidR="0085544E">
        <w:rPr>
          <w:rFonts w:ascii="Arial" w:hAnsi="Arial" w:cs="Arial"/>
          <w:sz w:val="24"/>
          <w:szCs w:val="24"/>
        </w:rPr>
        <w:t>Two additional DoD visits were under IRB-03.</w:t>
      </w:r>
    </w:p>
    <w:p w14:paraId="65FA83E0" w14:textId="77777777" w:rsidR="000B6624" w:rsidRDefault="000B6624" w:rsidP="000B66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A3197D" w14:textId="77777777" w:rsidR="000B6624" w:rsidRDefault="000B6624" w:rsidP="000B66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AA6806" w14:textId="77777777" w:rsidR="000B6624" w:rsidRDefault="000B6624" w:rsidP="000B66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49113A" w14:textId="77777777" w:rsidR="000B6624" w:rsidRDefault="000B6624" w:rsidP="000B66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10C44F" w14:textId="77777777" w:rsidR="000B6624" w:rsidRDefault="000B6624" w:rsidP="000B66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79E8F5" w14:textId="77777777" w:rsidR="000B6624" w:rsidRDefault="000B6624" w:rsidP="000B66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5C9ED4" w14:textId="77777777" w:rsidR="000B6624" w:rsidRDefault="000B6624" w:rsidP="000B66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B08629" w14:textId="77777777" w:rsidR="000B6624" w:rsidRDefault="000B6624" w:rsidP="000B66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368662" w14:textId="77777777" w:rsidR="000B6624" w:rsidRDefault="000B6624" w:rsidP="000B66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F2278B" w14:textId="77777777" w:rsidR="000B6624" w:rsidRDefault="000B6624" w:rsidP="000B66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287884" w14:textId="77777777" w:rsidR="000B6624" w:rsidRDefault="000B6624" w:rsidP="000B66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6173EA" w14:textId="77777777" w:rsidR="000B6624" w:rsidRDefault="000B6624" w:rsidP="000B66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A4D00C" w14:textId="77777777" w:rsidR="000B6624" w:rsidRDefault="000B6624" w:rsidP="000B66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5AD92B" w14:textId="77777777" w:rsidR="000B6624" w:rsidRDefault="000B6624" w:rsidP="000B66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E29D1F" w14:textId="77777777" w:rsidR="000B6624" w:rsidRDefault="000B6624" w:rsidP="000B66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C7E952" w14:textId="77777777" w:rsidR="000B6624" w:rsidRDefault="000B6624" w:rsidP="000B66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6E8875" w14:textId="77777777" w:rsidR="000B6624" w:rsidRDefault="000B6624" w:rsidP="000B66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6FC628" w14:textId="77777777" w:rsidR="000B6624" w:rsidRDefault="000B6624" w:rsidP="000B66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141D4A" w14:textId="77777777" w:rsidR="000B6624" w:rsidRDefault="000B6624" w:rsidP="000B66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82DF5C" w14:textId="77777777" w:rsidR="000B6624" w:rsidRDefault="000B6624" w:rsidP="000B66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AC8159" w14:textId="77777777" w:rsidR="000B6624" w:rsidRDefault="000B6624" w:rsidP="000B66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41F0F7" w14:textId="627CBA0E" w:rsidR="00C23352" w:rsidRPr="00263CB7" w:rsidRDefault="00C23352" w:rsidP="000B662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63CB7">
        <w:rPr>
          <w:rFonts w:ascii="Arial" w:hAnsi="Arial" w:cs="Arial"/>
          <w:b/>
          <w:sz w:val="24"/>
          <w:szCs w:val="24"/>
        </w:rPr>
        <w:t>Table 6: Total Number of Reports Reviewed by IRB Chair of Record 20</w:t>
      </w:r>
      <w:r w:rsidR="006A5D81">
        <w:rPr>
          <w:rFonts w:ascii="Arial" w:hAnsi="Arial" w:cs="Arial"/>
          <w:b/>
          <w:sz w:val="24"/>
          <w:szCs w:val="24"/>
        </w:rPr>
        <w:t>2</w:t>
      </w:r>
      <w:r w:rsidR="007D150D">
        <w:rPr>
          <w:rFonts w:ascii="Arial" w:hAnsi="Arial" w:cs="Arial"/>
          <w:b/>
          <w:sz w:val="24"/>
          <w:szCs w:val="24"/>
        </w:rPr>
        <w:t>3</w:t>
      </w:r>
    </w:p>
    <w:p w14:paraId="60C5FEA8" w14:textId="77777777" w:rsidR="00C23352" w:rsidRPr="00263CB7" w:rsidRDefault="00C23352" w:rsidP="00C233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10795" w:type="dxa"/>
        <w:tblLook w:val="04A0" w:firstRow="1" w:lastRow="0" w:firstColumn="1" w:lastColumn="0" w:noHBand="0" w:noVBand="1"/>
      </w:tblPr>
      <w:tblGrid>
        <w:gridCol w:w="630"/>
        <w:gridCol w:w="1670"/>
        <w:gridCol w:w="900"/>
        <w:gridCol w:w="810"/>
        <w:gridCol w:w="810"/>
        <w:gridCol w:w="978"/>
        <w:gridCol w:w="822"/>
        <w:gridCol w:w="940"/>
        <w:gridCol w:w="319"/>
        <w:gridCol w:w="671"/>
        <w:gridCol w:w="718"/>
        <w:gridCol w:w="697"/>
        <w:gridCol w:w="830"/>
      </w:tblGrid>
      <w:tr w:rsidR="00A6574C" w:rsidRPr="00263CB7" w14:paraId="39257C63" w14:textId="77777777" w:rsidTr="00A6574C">
        <w:trPr>
          <w:cantSplit/>
          <w:trHeight w:val="160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6573" w14:textId="77777777" w:rsidR="00A6574C" w:rsidRPr="00263CB7" w:rsidRDefault="00A6574C" w:rsidP="00A65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AE44" w14:textId="77777777" w:rsidR="00A6574C" w:rsidRPr="00263CB7" w:rsidRDefault="00A6574C" w:rsidP="00A65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BA93719" w14:textId="0A9B7460" w:rsidR="00A6574C" w:rsidRPr="00263CB7" w:rsidRDefault="00A6574C" w:rsidP="00A6574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IRB-01 (Chair 1)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5B3B676" w14:textId="74DE9809" w:rsidR="00A6574C" w:rsidRPr="00263CB7" w:rsidRDefault="00A6574C" w:rsidP="00A6574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IRB-01 (Chair 2)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A6BBAC9" w14:textId="2628B8F2" w:rsidR="00A6574C" w:rsidRPr="00263CB7" w:rsidRDefault="00A6574C" w:rsidP="00A6574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IRB-01 Chair (3)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1E99CC4" w14:textId="4D65C87B" w:rsidR="00A6574C" w:rsidRPr="00263CB7" w:rsidRDefault="00A6574C" w:rsidP="00A6574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IRB-01 Chair (4)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A2FECAF" w14:textId="4BC7BFC2" w:rsidR="00A6574C" w:rsidRPr="00263CB7" w:rsidRDefault="00A6574C" w:rsidP="00A6574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IRB-01/IRB-02 Chair (5)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B97DB7A" w14:textId="1CA959BE" w:rsidR="00A6574C" w:rsidRPr="00263CB7" w:rsidRDefault="00A6574C" w:rsidP="00A6574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IRB-02 (Chair 6)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p w14:paraId="7B95F795" w14:textId="77777777" w:rsidR="00A6574C" w:rsidRPr="00263CB7" w:rsidRDefault="00A6574C" w:rsidP="00A6574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347FF85" w14:textId="70728D18" w:rsidR="00A6574C" w:rsidRPr="00263CB7" w:rsidRDefault="00A6574C" w:rsidP="00A6574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IRB-0</w:t>
            </w:r>
            <w:r w:rsidR="00490D86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(Chair 7)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BCBB25B" w14:textId="4326224C" w:rsidR="00A6574C" w:rsidRPr="00263CB7" w:rsidRDefault="00A6574C" w:rsidP="00A6574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IRB-01 (Chair 8)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0864180" w14:textId="457077A9" w:rsidR="00A6574C" w:rsidRPr="00263CB7" w:rsidRDefault="00A6574C" w:rsidP="00A6574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IRB-02 (Chair 9)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98B8977" w14:textId="77777777" w:rsidR="00A6574C" w:rsidRPr="00263CB7" w:rsidRDefault="00A6574C" w:rsidP="00A6574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sz w:val="24"/>
                <w:szCs w:val="24"/>
              </w:rPr>
              <w:t>Total</w:t>
            </w:r>
          </w:p>
        </w:tc>
      </w:tr>
      <w:tr w:rsidR="00A6574C" w:rsidRPr="00263CB7" w14:paraId="36EA94A8" w14:textId="77777777" w:rsidTr="00A6574C">
        <w:trPr>
          <w:trHeight w:val="312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E21C551" w14:textId="77777777" w:rsidR="00A6574C" w:rsidRPr="00263CB7" w:rsidRDefault="00A6574C" w:rsidP="00A6574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Type of Study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AF16" w14:textId="77777777" w:rsidR="00A6574C" w:rsidRPr="00263CB7" w:rsidRDefault="00A6574C" w:rsidP="00A657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89FCF" w14:textId="7E989046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7803E" w14:textId="7FBC152D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FC5A2" w14:textId="0DA24C02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D9C1C" w14:textId="77777777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ACA38" w14:textId="3DE3B98D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C9D7D" w14:textId="77777777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1C10AF" w14:textId="77777777" w:rsidR="00A6574C" w:rsidRPr="00263CB7" w:rsidRDefault="00A6574C" w:rsidP="00A657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8D57A" w14:textId="77777777" w:rsidR="00A6574C" w:rsidRPr="00263CB7" w:rsidRDefault="00A6574C" w:rsidP="00A657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28166" w14:textId="3C227CD7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BB20B6" w14:textId="77777777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E2CD4C" w14:textId="40ABA03E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A6574C" w:rsidRPr="00263CB7" w14:paraId="19BE72C5" w14:textId="77777777" w:rsidTr="00A6574C">
        <w:trPr>
          <w:trHeight w:val="312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5C5C6" w14:textId="77777777" w:rsidR="00A6574C" w:rsidRPr="00263CB7" w:rsidRDefault="00A6574C" w:rsidP="00A657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277A" w14:textId="77777777" w:rsidR="00A6574C" w:rsidRPr="00263CB7" w:rsidRDefault="00A6574C" w:rsidP="00A657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PARR - IND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45866" w14:textId="77777777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01C2C" w14:textId="77777777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572AA" w14:textId="77777777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CC3D1" w14:textId="77777777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0FD85" w14:textId="77777777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AB3ED" w14:textId="77777777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D16D6F" w14:textId="77777777" w:rsidR="00A6574C" w:rsidRPr="00263CB7" w:rsidRDefault="00A6574C" w:rsidP="00A657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6036F6" w14:textId="77777777" w:rsidR="00A6574C" w:rsidRPr="00263CB7" w:rsidRDefault="00A6574C" w:rsidP="00A657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5786A" w14:textId="5C49FBC8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E97B50" w14:textId="77777777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2C68D4" w14:textId="3297A4C3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A6574C" w:rsidRPr="00263CB7" w14:paraId="023B5EE8" w14:textId="77777777" w:rsidTr="00A6574C">
        <w:trPr>
          <w:trHeight w:val="312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5BCAB" w14:textId="77777777" w:rsidR="00A6574C" w:rsidRPr="00263CB7" w:rsidRDefault="00A6574C" w:rsidP="00A657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C271" w14:textId="77777777" w:rsidR="00A6574C" w:rsidRPr="00263CB7" w:rsidRDefault="00A6574C" w:rsidP="00A657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IND/IDE/HGT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7261E" w14:textId="4EE257AA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E282A" w14:textId="77777777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78FE1" w14:textId="77777777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75C31" w14:textId="264A9157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89925" w14:textId="77777777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8017A" w14:textId="77777777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47B98B" w14:textId="77777777" w:rsidR="00A6574C" w:rsidRPr="00263CB7" w:rsidRDefault="00A6574C" w:rsidP="00A657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5C0DE" w14:textId="77777777" w:rsidR="00A6574C" w:rsidRPr="00263CB7" w:rsidRDefault="00A6574C" w:rsidP="00A657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D6169" w14:textId="0529239C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5EECEA" w14:textId="528A5A3C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37278" w14:textId="17363745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A6574C" w:rsidRPr="00263CB7" w14:paraId="3CAA3FB7" w14:textId="77777777" w:rsidTr="00A6574C">
        <w:trPr>
          <w:trHeight w:val="312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4A0AE" w14:textId="77777777" w:rsidR="00A6574C" w:rsidRPr="00263CB7" w:rsidRDefault="00A6574C" w:rsidP="00A657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081C" w14:textId="77777777" w:rsidR="00A6574C" w:rsidRPr="00263CB7" w:rsidRDefault="00A6574C" w:rsidP="00A657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Pam &amp; 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4DCF0" w14:textId="12B6899E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C9098" w14:textId="2F98A297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3F3E8" w14:textId="29FCD694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0D935" w14:textId="63C0C275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99C7F" w14:textId="1BDDCB82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5909A" w14:textId="1EC5C0A0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8E43B2" w14:textId="0EE9F9B8" w:rsidR="00A6574C" w:rsidRPr="00263CB7" w:rsidRDefault="00A6574C" w:rsidP="00A657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C7BF02" w14:textId="697A2BAA" w:rsidR="00A6574C" w:rsidRPr="00263CB7" w:rsidRDefault="00A6574C" w:rsidP="00A657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91CF7" w14:textId="582AC32A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191256" w14:textId="77777777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E14894" w14:textId="2CE7479E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</w:t>
            </w:r>
          </w:p>
        </w:tc>
      </w:tr>
      <w:tr w:rsidR="00A6574C" w:rsidRPr="00263CB7" w14:paraId="7CE19F0F" w14:textId="77777777" w:rsidTr="00A6574C">
        <w:trPr>
          <w:trHeight w:val="312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B2353" w14:textId="77777777" w:rsidR="00A6574C" w:rsidRPr="00263CB7" w:rsidRDefault="00A6574C" w:rsidP="00A657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0ACF" w14:textId="77777777" w:rsidR="00A6574C" w:rsidRPr="00263CB7" w:rsidRDefault="00A6574C" w:rsidP="00A657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Directed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67102" w14:textId="1A0FF42E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A09FC" w14:textId="7A0E7ABD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DBB20" w14:textId="61D1BB2B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08568" w14:textId="77777777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AB065" w14:textId="184245B8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E1170" w14:textId="237B79D1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965AAA" w14:textId="09A5CDD8" w:rsidR="00A6574C" w:rsidRDefault="00A6574C" w:rsidP="00A657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20D4BF" w14:textId="2C8C54FD" w:rsidR="00A6574C" w:rsidRDefault="00A6574C" w:rsidP="00A657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F9F6D" w14:textId="7AF7842B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C3D2BE" w14:textId="2814354A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789B11" w14:textId="0E14CBFD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A6574C" w:rsidRPr="00263CB7" w14:paraId="42093155" w14:textId="77777777" w:rsidTr="00A6574C">
        <w:trPr>
          <w:trHeight w:val="312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FF204" w14:textId="77777777" w:rsidR="00A6574C" w:rsidRPr="00263CB7" w:rsidRDefault="00A6574C" w:rsidP="00A657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6F1F" w14:textId="77777777" w:rsidR="00A6574C" w:rsidRPr="00263CB7" w:rsidRDefault="00A6574C" w:rsidP="00A657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SPI-FA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7F937" w14:textId="1C87B571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07DAF" w14:textId="77777777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28015" w14:textId="150ABCC4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899D8" w14:textId="14A59B8F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2C2BE" w14:textId="77777777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5D39B" w14:textId="5C4A6F62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B5364B" w14:textId="77777777" w:rsidR="00A6574C" w:rsidRPr="00263CB7" w:rsidRDefault="00A6574C" w:rsidP="00A657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F09B62" w14:textId="4A36F16B" w:rsidR="00A6574C" w:rsidRPr="00263CB7" w:rsidRDefault="00A6574C" w:rsidP="00A657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3C052" w14:textId="618E6493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25C98E" w14:textId="2E9FF997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B2162A" w14:textId="6951F681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A6574C" w:rsidRPr="00263CB7" w14:paraId="0896F0C3" w14:textId="77777777" w:rsidTr="00A6574C">
        <w:trPr>
          <w:trHeight w:val="312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66F2E" w14:textId="77777777" w:rsidR="00A6574C" w:rsidRPr="00263CB7" w:rsidRDefault="00A6574C" w:rsidP="00A657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27BA" w14:textId="77777777" w:rsidR="00A6574C" w:rsidRPr="00263CB7" w:rsidRDefault="00A6574C" w:rsidP="00A657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4F9B0" w14:textId="77777777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BBD29" w14:textId="77777777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4C123" w14:textId="73F99E2A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21D20" w14:textId="77777777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4446B" w14:textId="77777777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19702" w14:textId="5063B8F7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9618B9" w14:textId="77777777" w:rsidR="00A6574C" w:rsidRPr="00263CB7" w:rsidRDefault="00A6574C" w:rsidP="00A657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F5F5B" w14:textId="77777777" w:rsidR="00A6574C" w:rsidRPr="00263CB7" w:rsidRDefault="00A6574C" w:rsidP="00A657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B1546" w14:textId="4185EB06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CBE756" w14:textId="77777777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69DF7" w14:textId="70CA2D8A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A6574C" w:rsidRPr="00263CB7" w14:paraId="18EB2C7A" w14:textId="77777777" w:rsidTr="00A6574C">
        <w:trPr>
          <w:trHeight w:val="312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F2F20" w14:textId="77777777" w:rsidR="00A6574C" w:rsidRPr="00263CB7" w:rsidRDefault="00A6574C" w:rsidP="00A657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A0A2" w14:textId="77777777" w:rsidR="00A6574C" w:rsidRPr="00263CB7" w:rsidRDefault="00A6574C" w:rsidP="00A657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Exempt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26808" w14:textId="7A3D7FC9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DB414" w14:textId="77777777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22D71" w14:textId="4A359D9B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64183" w14:textId="77777777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C02ED" w14:textId="26D4F366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90ABF" w14:textId="1CBBC0A9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6C6DAA" w14:textId="77777777" w:rsidR="00A6574C" w:rsidRPr="00263CB7" w:rsidRDefault="00A6574C" w:rsidP="00A657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B7F9C9" w14:textId="77777777" w:rsidR="00A6574C" w:rsidRPr="00263CB7" w:rsidRDefault="00A6574C" w:rsidP="00A657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E3A9F" w14:textId="0039D9FD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5BBBB5" w14:textId="71C01188" w:rsidR="00A6574C" w:rsidRPr="00263CB7" w:rsidRDefault="00A6574C" w:rsidP="00A657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3CCF57" w14:textId="5B81FB97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A6574C" w:rsidRPr="00263CB7" w14:paraId="4C6231E3" w14:textId="77777777" w:rsidTr="00A6574C">
        <w:trPr>
          <w:trHeight w:val="539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5FF11" w14:textId="77777777" w:rsidR="00A6574C" w:rsidRPr="00263CB7" w:rsidRDefault="00A6574C" w:rsidP="00A657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6F23D" w14:textId="77777777" w:rsidR="00A6574C" w:rsidRPr="00263CB7" w:rsidRDefault="00A6574C" w:rsidP="00A657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FDA/EMA Site Inspection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7D771" w14:textId="77777777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0D640" w14:textId="77777777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84B09" w14:textId="77777777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386C9" w14:textId="77777777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6CA3A" w14:textId="41796123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8DAA1" w14:textId="77777777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A1F9EF" w14:textId="77777777" w:rsidR="00A6574C" w:rsidRPr="00263CB7" w:rsidRDefault="00A6574C" w:rsidP="00A657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FDF149" w14:textId="77777777" w:rsidR="00A6574C" w:rsidRPr="00263CB7" w:rsidRDefault="00A6574C" w:rsidP="00A657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817DF" w14:textId="54F672E1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98A77F" w14:textId="77777777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5E72AE" w14:textId="68904584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A6574C" w:rsidRPr="00263CB7" w14:paraId="0D2E6D00" w14:textId="77777777" w:rsidTr="00A6574C">
        <w:trPr>
          <w:trHeight w:val="32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09F8A" w14:textId="77777777" w:rsidR="00A6574C" w:rsidRPr="00263CB7" w:rsidRDefault="00A6574C" w:rsidP="00A657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5554F" w14:textId="77777777" w:rsidR="00A6574C" w:rsidRPr="00263CB7" w:rsidRDefault="00A6574C" w:rsidP="00A657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Umbrella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B25C" w14:textId="245C3077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343C" w14:textId="77777777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1C034" w14:textId="77777777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78600" w14:textId="77777777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7243" w14:textId="77777777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3A05" w14:textId="77777777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4FE108" w14:textId="77777777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8BC68" w14:textId="77777777" w:rsidR="00A6574C" w:rsidRPr="00263CB7" w:rsidRDefault="00A6574C" w:rsidP="00A657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6CF2D" w14:textId="3E1E3E7C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46A067" w14:textId="77777777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846BF4" w14:textId="527DA110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A6574C" w:rsidRPr="00263CB7" w14:paraId="3AA6D144" w14:textId="77777777" w:rsidTr="00A6574C">
        <w:trPr>
          <w:trHeight w:val="312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480E" w14:textId="77777777" w:rsidR="00A6574C" w:rsidRPr="00263CB7" w:rsidRDefault="00A6574C" w:rsidP="00A657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1D9F" w14:textId="77777777" w:rsidR="00A6574C" w:rsidRPr="00263CB7" w:rsidRDefault="00A6574C" w:rsidP="00A6574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b/>
                <w:sz w:val="24"/>
                <w:szCs w:val="24"/>
              </w:rPr>
              <w:t>Total Events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A431D" w14:textId="3D79569E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D8E05" w14:textId="66EAFE09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E3187" w14:textId="5172E95F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9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EEE79" w14:textId="1A399472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F570C" w14:textId="6979D259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9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B3EF3" w14:textId="794F3EB1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31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28564D" w14:textId="5558B6DF" w:rsidR="00A6574C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83A03C" w14:textId="5BE8C760" w:rsidR="00A6574C" w:rsidRDefault="00A6574C" w:rsidP="00A65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7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AD715" w14:textId="76E670E8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69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79FC32" w14:textId="5083A159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  <w:tc>
          <w:tcPr>
            <w:tcW w:w="8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CCF383" w14:textId="081058CC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</w:tr>
      <w:tr w:rsidR="00A6574C" w:rsidRPr="00263CB7" w14:paraId="57F0BB0D" w14:textId="77777777" w:rsidTr="00A6574C">
        <w:trPr>
          <w:trHeight w:val="31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EE1A" w14:textId="77777777" w:rsidR="00A6574C" w:rsidRPr="00263CB7" w:rsidRDefault="00A6574C" w:rsidP="00A657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3178" w14:textId="5EF09CEA" w:rsidR="00A6574C" w:rsidRPr="00263CB7" w:rsidRDefault="00A6574C" w:rsidP="00A6574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% of Total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B69CA" w14:textId="14BF4374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24%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62FC5" w14:textId="5727CD83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35F30" w14:textId="6A34D974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782A1" w14:textId="0E96A0A4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B0F8A" w14:textId="471010B9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FEBB0" w14:textId="1F5FAC80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10%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0E798E" w14:textId="277613F6" w:rsidR="00A6574C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5A305B" w14:textId="3A3374ED" w:rsidR="00A6574C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4%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18E84" w14:textId="52843F76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AC11A" w14:textId="3A2F488E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20%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6D89D" w14:textId="14214832" w:rsidR="00A6574C" w:rsidRPr="00263CB7" w:rsidRDefault="00A6574C" w:rsidP="00A657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100%</w:t>
            </w:r>
          </w:p>
        </w:tc>
      </w:tr>
    </w:tbl>
    <w:p w14:paraId="1128A8DE" w14:textId="77777777" w:rsidR="00C23352" w:rsidRDefault="00C23352" w:rsidP="00C233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37D0719" w14:textId="77777777" w:rsidR="008C79A6" w:rsidRDefault="008C79A6" w:rsidP="00C233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FE2F75B" w14:textId="20F16B07" w:rsidR="00C23352" w:rsidRPr="00263CB7" w:rsidRDefault="00C23352" w:rsidP="00C2335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63CB7">
        <w:rPr>
          <w:rFonts w:ascii="Arial" w:hAnsi="Arial" w:cs="Arial"/>
          <w:b/>
          <w:sz w:val="28"/>
          <w:szCs w:val="28"/>
        </w:rPr>
        <w:t>MONITORING FINDINGS</w:t>
      </w:r>
    </w:p>
    <w:p w14:paraId="14940DCF" w14:textId="77777777" w:rsidR="00263CB7" w:rsidRPr="00E756E2" w:rsidRDefault="00263CB7" w:rsidP="00C233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71AEF48" w14:textId="77777777" w:rsidR="007A6678" w:rsidRDefault="00C23352" w:rsidP="007A6678">
      <w:pPr>
        <w:pStyle w:val="paragraph"/>
        <w:spacing w:before="0" w:beforeAutospacing="0" w:after="0" w:afterAutospacing="0"/>
        <w:rPr>
          <w:rFonts w:ascii="Arial" w:eastAsiaTheme="minorEastAsia" w:hAnsi="Arial" w:cs="Arial"/>
        </w:rPr>
      </w:pPr>
      <w:r w:rsidRPr="003A4833">
        <w:rPr>
          <w:rFonts w:ascii="Arial" w:eastAsiaTheme="minorEastAsia" w:hAnsi="Arial" w:cs="Arial"/>
        </w:rPr>
        <w:t xml:space="preserve">As part of the monitoring process, the Compliance and Education Specialist enters findings from the visit into </w:t>
      </w:r>
      <w:proofErr w:type="spellStart"/>
      <w:r w:rsidRPr="003A4833">
        <w:rPr>
          <w:rFonts w:ascii="Arial" w:eastAsiaTheme="minorEastAsia" w:hAnsi="Arial" w:cs="Arial"/>
        </w:rPr>
        <w:t>HawkIRB</w:t>
      </w:r>
      <w:proofErr w:type="spellEnd"/>
      <w:r w:rsidRPr="003A4833">
        <w:rPr>
          <w:rFonts w:ascii="Arial" w:eastAsiaTheme="minorEastAsia" w:hAnsi="Arial" w:cs="Arial"/>
        </w:rPr>
        <w:t xml:space="preserve">. Table </w:t>
      </w:r>
      <w:r w:rsidR="007A6678">
        <w:rPr>
          <w:rFonts w:ascii="Arial" w:eastAsiaTheme="minorEastAsia" w:hAnsi="Arial" w:cs="Arial"/>
        </w:rPr>
        <w:t>7</w:t>
      </w:r>
      <w:r w:rsidRPr="003A4833">
        <w:rPr>
          <w:rFonts w:ascii="Arial" w:eastAsiaTheme="minorEastAsia" w:hAnsi="Arial" w:cs="Arial"/>
        </w:rPr>
        <w:t xml:space="preserve"> below illustrates the number of findings in </w:t>
      </w:r>
      <w:proofErr w:type="spellStart"/>
      <w:r w:rsidRPr="003A4833">
        <w:rPr>
          <w:rFonts w:ascii="Arial" w:eastAsiaTheme="minorEastAsia" w:hAnsi="Arial" w:cs="Arial"/>
        </w:rPr>
        <w:t>HawkIRB</w:t>
      </w:r>
      <w:proofErr w:type="spellEnd"/>
      <w:r w:rsidRPr="003A4833">
        <w:rPr>
          <w:rFonts w:ascii="Arial" w:eastAsiaTheme="minorEastAsia" w:hAnsi="Arial" w:cs="Arial"/>
        </w:rPr>
        <w:t xml:space="preserve"> by category in 20</w:t>
      </w:r>
      <w:r w:rsidR="00325507" w:rsidRPr="003A4833">
        <w:rPr>
          <w:rFonts w:ascii="Arial" w:eastAsiaTheme="minorEastAsia" w:hAnsi="Arial" w:cs="Arial"/>
        </w:rPr>
        <w:t>2</w:t>
      </w:r>
      <w:r w:rsidR="007A5B4B">
        <w:rPr>
          <w:rFonts w:ascii="Arial" w:eastAsiaTheme="minorEastAsia" w:hAnsi="Arial" w:cs="Arial"/>
        </w:rPr>
        <w:t>3</w:t>
      </w:r>
      <w:r w:rsidRPr="003A4833">
        <w:rPr>
          <w:rFonts w:ascii="Arial" w:eastAsiaTheme="minorEastAsia" w:hAnsi="Arial" w:cs="Arial"/>
        </w:rPr>
        <w:t xml:space="preserve">.  </w:t>
      </w:r>
    </w:p>
    <w:p w14:paraId="32A9E04A" w14:textId="77777777" w:rsidR="007A6678" w:rsidRDefault="007A6678" w:rsidP="007A6678">
      <w:pPr>
        <w:pStyle w:val="paragraph"/>
        <w:spacing w:before="0" w:beforeAutospacing="0" w:after="0" w:afterAutospacing="0"/>
        <w:rPr>
          <w:rFonts w:ascii="Arial" w:eastAsiaTheme="minorEastAsia" w:hAnsi="Arial" w:cs="Arial"/>
        </w:rPr>
      </w:pPr>
    </w:p>
    <w:p w14:paraId="759DFE93" w14:textId="5F5A9F9B" w:rsidR="00C23352" w:rsidRPr="00263CB7" w:rsidRDefault="00C23352" w:rsidP="007A6678">
      <w:pPr>
        <w:pStyle w:val="paragraph"/>
        <w:spacing w:before="0" w:beforeAutospacing="0" w:after="0" w:afterAutospacing="0"/>
        <w:rPr>
          <w:rFonts w:ascii="Arial" w:hAnsi="Arial" w:cs="Arial"/>
          <w:b/>
          <w:color w:val="FF0000"/>
        </w:rPr>
      </w:pPr>
      <w:r w:rsidRPr="00263CB7">
        <w:rPr>
          <w:rFonts w:ascii="Arial" w:hAnsi="Arial" w:cs="Arial"/>
          <w:b/>
        </w:rPr>
        <w:t>Table 7: 20</w:t>
      </w:r>
      <w:r w:rsidR="00313950">
        <w:rPr>
          <w:rFonts w:ascii="Arial" w:hAnsi="Arial" w:cs="Arial"/>
          <w:b/>
        </w:rPr>
        <w:t>2</w:t>
      </w:r>
      <w:r w:rsidR="007D150D">
        <w:rPr>
          <w:rFonts w:ascii="Arial" w:hAnsi="Arial" w:cs="Arial"/>
          <w:b/>
        </w:rPr>
        <w:t>3</w:t>
      </w:r>
      <w:r w:rsidRPr="00263CB7">
        <w:rPr>
          <w:rFonts w:ascii="Arial" w:hAnsi="Arial" w:cs="Arial"/>
          <w:b/>
        </w:rPr>
        <w:t xml:space="preserve"> Monitoring Findings by Category</w:t>
      </w:r>
    </w:p>
    <w:p w14:paraId="493C394D" w14:textId="77777777" w:rsidR="00C23352" w:rsidRPr="00263CB7" w:rsidRDefault="00C23352" w:rsidP="00C2335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63CB7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9625" w:type="dxa"/>
        <w:tblLook w:val="04A0" w:firstRow="1" w:lastRow="0" w:firstColumn="1" w:lastColumn="0" w:noHBand="0" w:noVBand="1"/>
      </w:tblPr>
      <w:tblGrid>
        <w:gridCol w:w="6460"/>
        <w:gridCol w:w="1123"/>
        <w:gridCol w:w="2042"/>
      </w:tblGrid>
      <w:tr w:rsidR="00C23352" w:rsidRPr="00263CB7" w14:paraId="32650A3E" w14:textId="77777777" w:rsidTr="004B07B1">
        <w:trPr>
          <w:trHeight w:val="300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66F0808" w14:textId="77777777" w:rsidR="00C23352" w:rsidRPr="00263CB7" w:rsidRDefault="00C23352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Finding Type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C93D235" w14:textId="77777777" w:rsidR="00C23352" w:rsidRPr="00263CB7" w:rsidRDefault="00C23352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Number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F3F0AE" w14:textId="77777777" w:rsidR="00C23352" w:rsidRPr="00263CB7" w:rsidRDefault="00C23352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Percent of Total</w:t>
            </w:r>
          </w:p>
        </w:tc>
      </w:tr>
      <w:tr w:rsidR="00C23352" w:rsidRPr="00263CB7" w14:paraId="53FE17B1" w14:textId="77777777" w:rsidTr="007545AE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6CDDA" w14:textId="77777777" w:rsidR="00C23352" w:rsidRPr="00263CB7" w:rsidRDefault="00C23352" w:rsidP="004B0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Findings noted with </w:t>
            </w:r>
            <w:proofErr w:type="spellStart"/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HawkIRB</w:t>
            </w:r>
            <w:proofErr w:type="spellEnd"/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Application and Attachments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42286" w14:textId="5CE8C676" w:rsidR="00C23352" w:rsidRPr="00263CB7" w:rsidRDefault="007A6678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D51F6" w14:textId="30650E54" w:rsidR="00C23352" w:rsidRPr="00263CB7" w:rsidRDefault="007545AE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</w:t>
            </w:r>
            <w:r w:rsidR="001159A0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7A6678" w:rsidRPr="00263CB7" w14:paraId="02A625F8" w14:textId="77777777" w:rsidTr="007545AE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55168" w14:textId="6B2479D0" w:rsidR="007A6678" w:rsidRPr="00263CB7" w:rsidRDefault="007A6678" w:rsidP="004B0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Findings noted with conduct of study or investigator oversight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10E4D" w14:textId="4E6B0A24" w:rsidR="007A6678" w:rsidRDefault="007A6678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E5BD7" w14:textId="4389E68E" w:rsidR="007A6678" w:rsidRDefault="007545AE" w:rsidP="001159A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2%</w:t>
            </w:r>
          </w:p>
        </w:tc>
      </w:tr>
      <w:tr w:rsidR="007A6678" w:rsidRPr="00263CB7" w14:paraId="1392A820" w14:textId="77777777" w:rsidTr="007545AE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490D9" w14:textId="579F09DA" w:rsidR="007A6678" w:rsidRPr="00263CB7" w:rsidRDefault="007A6678" w:rsidP="004B0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Findings noted with the HSO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5A90D" w14:textId="47B49DCE" w:rsidR="007A6678" w:rsidRDefault="007A6678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337DC" w14:textId="76042B35" w:rsidR="007A6678" w:rsidRDefault="007545AE" w:rsidP="001159A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7%</w:t>
            </w:r>
          </w:p>
        </w:tc>
      </w:tr>
      <w:tr w:rsidR="007A6678" w:rsidRPr="00263CB7" w14:paraId="66A92031" w14:textId="77777777" w:rsidTr="007545AE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A3FFE" w14:textId="08165FFE" w:rsidR="007A6678" w:rsidRPr="00263CB7" w:rsidRDefault="007A6678" w:rsidP="004B0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Findings noted with the IRB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5FC9E" w14:textId="5D6D5B47" w:rsidR="007A6678" w:rsidRDefault="007A6678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9114A" w14:textId="2587C1FD" w:rsidR="007A6678" w:rsidRDefault="007545AE" w:rsidP="001159A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0.5%</w:t>
            </w:r>
          </w:p>
        </w:tc>
      </w:tr>
      <w:tr w:rsidR="00C23352" w:rsidRPr="00263CB7" w14:paraId="4C3F5985" w14:textId="77777777" w:rsidTr="007545AE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AC0B3" w14:textId="77777777" w:rsidR="00C23352" w:rsidRPr="00263CB7" w:rsidRDefault="00C23352" w:rsidP="004B0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 Finding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F47A1" w14:textId="0043BA10" w:rsidR="00C23352" w:rsidRPr="00263CB7" w:rsidRDefault="007A6678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BB298" w14:textId="12441EF1" w:rsidR="00C23352" w:rsidRPr="00263CB7" w:rsidRDefault="007545AE" w:rsidP="001159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="001159A0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C23352" w:rsidRPr="00263CB7" w14:paraId="27D5FD29" w14:textId="77777777" w:rsidTr="007545AE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A172A" w14:textId="77777777" w:rsidR="00C23352" w:rsidRPr="00263CB7" w:rsidRDefault="00C23352" w:rsidP="004B0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Findings noted with Documentation and/or Process of Consent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7638C" w14:textId="379644D5" w:rsidR="00C23352" w:rsidRPr="00263CB7" w:rsidRDefault="007A6678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2E207" w14:textId="2B44AE50" w:rsidR="00C23352" w:rsidRPr="00263CB7" w:rsidRDefault="007545AE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1159A0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C23352" w:rsidRPr="00263CB7" w14:paraId="106DDFD8" w14:textId="77777777" w:rsidTr="007545AE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DE6D5" w14:textId="3D6DD7CC" w:rsidR="00C23352" w:rsidRPr="00263CB7" w:rsidRDefault="001159A0" w:rsidP="004B0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Information learned at monitoring visit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D6A85" w14:textId="6E7A2FAA" w:rsidR="00C23352" w:rsidRPr="00263CB7" w:rsidRDefault="007A6678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C54CC" w14:textId="4260DC82" w:rsidR="00C23352" w:rsidRPr="00263CB7" w:rsidRDefault="007545AE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3%</w:t>
            </w:r>
          </w:p>
        </w:tc>
      </w:tr>
      <w:tr w:rsidR="007A6678" w:rsidRPr="00263CB7" w14:paraId="21E6416E" w14:textId="77777777" w:rsidTr="007545AE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13941" w14:textId="77777777" w:rsidR="007A6678" w:rsidRPr="00263CB7" w:rsidRDefault="007A6678" w:rsidP="00632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Information learned via communication with PI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E1A1B" w14:textId="77777777" w:rsidR="007A6678" w:rsidRPr="00263CB7" w:rsidRDefault="007A6678" w:rsidP="00632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C26B8" w14:textId="5248D999" w:rsidR="007A6678" w:rsidRPr="00263CB7" w:rsidRDefault="007545AE" w:rsidP="00632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2.5</w:t>
            </w:r>
            <w:r w:rsidR="007A6678" w:rsidRPr="00263CB7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7A6678" w:rsidRPr="00263CB7" w14:paraId="1FD68BE9" w14:textId="77777777" w:rsidTr="007545AE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4F3CE" w14:textId="46781DE4" w:rsidR="007A6678" w:rsidRDefault="007A6678" w:rsidP="004B0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Other findings noted with study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9EA65" w14:textId="091F7EAF" w:rsidR="007A6678" w:rsidRDefault="007A6678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2063F" w14:textId="7A8E83A8" w:rsidR="007A6678" w:rsidRPr="00263CB7" w:rsidRDefault="007545AE" w:rsidP="004B07B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2%</w:t>
            </w:r>
          </w:p>
        </w:tc>
      </w:tr>
      <w:tr w:rsidR="00C23352" w:rsidRPr="00263CB7" w14:paraId="68C18D89" w14:textId="77777777" w:rsidTr="007545AE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95C65" w14:textId="77777777" w:rsidR="00C23352" w:rsidRPr="00263CB7" w:rsidRDefault="00C23352" w:rsidP="004B07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TOTAL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A556D" w14:textId="457FC69D" w:rsidR="00C23352" w:rsidRPr="00263CB7" w:rsidRDefault="007A6678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176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BFC0F" w14:textId="4905C8CB" w:rsidR="00C23352" w:rsidRPr="00263CB7" w:rsidRDefault="00325507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100%</w:t>
            </w:r>
          </w:p>
        </w:tc>
      </w:tr>
    </w:tbl>
    <w:p w14:paraId="4995F5C5" w14:textId="598DD595" w:rsidR="00C23352" w:rsidRPr="00263CB7" w:rsidRDefault="00C23352" w:rsidP="00C23352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263CB7">
        <w:rPr>
          <w:rFonts w:ascii="Arial" w:hAnsi="Arial" w:cs="Arial"/>
          <w:b/>
          <w:sz w:val="24"/>
          <w:szCs w:val="24"/>
        </w:rPr>
        <w:t xml:space="preserve">Figure 2: Monitoring Findings for the </w:t>
      </w:r>
      <w:proofErr w:type="spellStart"/>
      <w:r w:rsidRPr="00263CB7">
        <w:rPr>
          <w:rFonts w:ascii="Arial" w:hAnsi="Arial" w:cs="Arial"/>
          <w:b/>
          <w:sz w:val="24"/>
          <w:szCs w:val="24"/>
        </w:rPr>
        <w:t>HawkIRB</w:t>
      </w:r>
      <w:proofErr w:type="spellEnd"/>
      <w:r w:rsidRPr="00263CB7">
        <w:rPr>
          <w:rFonts w:ascii="Arial" w:hAnsi="Arial" w:cs="Arial"/>
          <w:b/>
          <w:sz w:val="24"/>
          <w:szCs w:val="24"/>
        </w:rPr>
        <w:t xml:space="preserve"> Application</w:t>
      </w:r>
      <w:r w:rsidR="006F599D">
        <w:rPr>
          <w:rFonts w:ascii="Arial" w:hAnsi="Arial" w:cs="Arial"/>
          <w:b/>
          <w:sz w:val="24"/>
          <w:szCs w:val="24"/>
        </w:rPr>
        <w:t>, by Section</w:t>
      </w:r>
    </w:p>
    <w:p w14:paraId="19025625" w14:textId="77777777" w:rsidR="00C23352" w:rsidRPr="00263CB7" w:rsidRDefault="00C23352" w:rsidP="00C23352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2BC85B83" w14:textId="0142C741" w:rsidR="00C23352" w:rsidRPr="00263CB7" w:rsidRDefault="006F599D" w:rsidP="00C23352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79E2AFF3" wp14:editId="68823D76">
            <wp:extent cx="6711950" cy="3365500"/>
            <wp:effectExtent l="0" t="0" r="12700" b="6350"/>
            <wp:docPr id="166149774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0F381F7-E697-988C-B97A-14E71C37E55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D880D16" w14:textId="77777777" w:rsidR="006F599D" w:rsidRDefault="006F599D" w:rsidP="00C2335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F2372EB" w14:textId="77777777" w:rsidR="006F599D" w:rsidRDefault="006F599D" w:rsidP="00C2335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743D87E" w14:textId="77777777" w:rsidR="006F599D" w:rsidRDefault="006F599D" w:rsidP="00C2335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06B71DA" w14:textId="3F344DBA" w:rsidR="00C23352" w:rsidRPr="002B3E52" w:rsidRDefault="00C23352" w:rsidP="00C2335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B3E52">
        <w:rPr>
          <w:rFonts w:ascii="Arial" w:hAnsi="Arial" w:cs="Arial"/>
          <w:b/>
          <w:bCs/>
          <w:sz w:val="24"/>
          <w:szCs w:val="24"/>
        </w:rPr>
        <w:t>Table 7 illustrates the frequency of findings per study. Studies without findings are not represented.</w:t>
      </w:r>
    </w:p>
    <w:p w14:paraId="74FB9A0C" w14:textId="77777777" w:rsidR="00C23352" w:rsidRPr="00263CB7" w:rsidRDefault="00C23352" w:rsidP="00C233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4"/>
        <w:gridCol w:w="3640"/>
        <w:gridCol w:w="3070"/>
      </w:tblGrid>
      <w:tr w:rsidR="00C23352" w:rsidRPr="00263CB7" w14:paraId="0552133A" w14:textId="77777777" w:rsidTr="004B07B1">
        <w:trPr>
          <w:trHeight w:val="309"/>
        </w:trPr>
        <w:tc>
          <w:tcPr>
            <w:tcW w:w="3124" w:type="dxa"/>
            <w:shd w:val="clear" w:color="auto" w:fill="BFBFBF" w:themeFill="background1" w:themeFillShade="BF"/>
            <w:noWrap/>
            <w:vAlign w:val="bottom"/>
            <w:hideMark/>
          </w:tcPr>
          <w:p w14:paraId="5381836B" w14:textId="77777777" w:rsidR="00C23352" w:rsidRPr="00263CB7" w:rsidRDefault="00C23352" w:rsidP="004B07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sz w:val="24"/>
                <w:szCs w:val="24"/>
              </w:rPr>
              <w:t>Total Findings</w:t>
            </w:r>
          </w:p>
        </w:tc>
        <w:tc>
          <w:tcPr>
            <w:tcW w:w="3640" w:type="dxa"/>
            <w:shd w:val="clear" w:color="auto" w:fill="BFBFBF" w:themeFill="background1" w:themeFillShade="BF"/>
            <w:noWrap/>
            <w:vAlign w:val="bottom"/>
            <w:hideMark/>
          </w:tcPr>
          <w:p w14:paraId="2A9B754A" w14:textId="77777777" w:rsidR="00C23352" w:rsidRPr="00263CB7" w:rsidRDefault="00C23352" w:rsidP="004B07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sz w:val="24"/>
                <w:szCs w:val="24"/>
              </w:rPr>
              <w:t>Number of Studies</w:t>
            </w:r>
          </w:p>
        </w:tc>
        <w:tc>
          <w:tcPr>
            <w:tcW w:w="3070" w:type="dxa"/>
            <w:shd w:val="clear" w:color="auto" w:fill="BFBFBF" w:themeFill="background1" w:themeFillShade="BF"/>
            <w:noWrap/>
            <w:vAlign w:val="bottom"/>
            <w:hideMark/>
          </w:tcPr>
          <w:p w14:paraId="28EF746C" w14:textId="77777777" w:rsidR="00C23352" w:rsidRPr="00263CB7" w:rsidRDefault="00C23352" w:rsidP="004B07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sz w:val="24"/>
                <w:szCs w:val="24"/>
              </w:rPr>
              <w:t>Percent of Studies</w:t>
            </w:r>
          </w:p>
        </w:tc>
      </w:tr>
      <w:tr w:rsidR="002E682E" w:rsidRPr="00263CB7" w14:paraId="34045257" w14:textId="77777777" w:rsidTr="004B07B1">
        <w:trPr>
          <w:trHeight w:val="309"/>
        </w:trPr>
        <w:tc>
          <w:tcPr>
            <w:tcW w:w="3124" w:type="dxa"/>
            <w:shd w:val="clear" w:color="auto" w:fill="auto"/>
            <w:noWrap/>
            <w:vAlign w:val="bottom"/>
          </w:tcPr>
          <w:p w14:paraId="10BA1AE0" w14:textId="4474E501" w:rsidR="002E682E" w:rsidRPr="00263CB7" w:rsidRDefault="002E682E" w:rsidP="004B07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No Findings</w:t>
            </w:r>
          </w:p>
        </w:tc>
        <w:tc>
          <w:tcPr>
            <w:tcW w:w="3640" w:type="dxa"/>
            <w:shd w:val="clear" w:color="auto" w:fill="auto"/>
            <w:noWrap/>
            <w:vAlign w:val="bottom"/>
          </w:tcPr>
          <w:p w14:paraId="4EA5BEDE" w14:textId="4EF85D7B" w:rsidR="002E682E" w:rsidRDefault="0062056C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53</w:t>
            </w:r>
          </w:p>
        </w:tc>
        <w:tc>
          <w:tcPr>
            <w:tcW w:w="3070" w:type="dxa"/>
            <w:shd w:val="clear" w:color="auto" w:fill="auto"/>
            <w:noWrap/>
            <w:vAlign w:val="bottom"/>
          </w:tcPr>
          <w:p w14:paraId="47982D07" w14:textId="2D6B7AB3" w:rsidR="002E682E" w:rsidRPr="00263CB7" w:rsidRDefault="002E682E" w:rsidP="004B07B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62056C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</w:tr>
      <w:tr w:rsidR="00C23352" w:rsidRPr="00263CB7" w14:paraId="0DAB81E9" w14:textId="77777777" w:rsidTr="004B07B1">
        <w:trPr>
          <w:trHeight w:val="309"/>
        </w:trPr>
        <w:tc>
          <w:tcPr>
            <w:tcW w:w="3124" w:type="dxa"/>
            <w:shd w:val="clear" w:color="auto" w:fill="auto"/>
            <w:noWrap/>
            <w:vAlign w:val="bottom"/>
            <w:hideMark/>
          </w:tcPr>
          <w:p w14:paraId="38B85031" w14:textId="77777777" w:rsidR="00C23352" w:rsidRPr="00263CB7" w:rsidRDefault="00C23352" w:rsidP="004B07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sz w:val="24"/>
                <w:szCs w:val="24"/>
              </w:rPr>
              <w:t>1 or 2 findings</w:t>
            </w:r>
          </w:p>
        </w:tc>
        <w:tc>
          <w:tcPr>
            <w:tcW w:w="3640" w:type="dxa"/>
            <w:shd w:val="clear" w:color="auto" w:fill="auto"/>
            <w:noWrap/>
            <w:vAlign w:val="bottom"/>
          </w:tcPr>
          <w:p w14:paraId="11E94384" w14:textId="2927169F" w:rsidR="00C23352" w:rsidRPr="00263CB7" w:rsidRDefault="0062056C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2E682E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3070" w:type="dxa"/>
            <w:shd w:val="clear" w:color="auto" w:fill="auto"/>
            <w:noWrap/>
            <w:vAlign w:val="bottom"/>
          </w:tcPr>
          <w:p w14:paraId="3CCFDF04" w14:textId="64CDD9BB" w:rsidR="00C23352" w:rsidRPr="00263CB7" w:rsidRDefault="002E682E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62056C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</w:tr>
      <w:tr w:rsidR="00C23352" w:rsidRPr="00263CB7" w14:paraId="402A751F" w14:textId="77777777" w:rsidTr="004B07B1">
        <w:trPr>
          <w:trHeight w:val="309"/>
        </w:trPr>
        <w:tc>
          <w:tcPr>
            <w:tcW w:w="3124" w:type="dxa"/>
            <w:shd w:val="clear" w:color="auto" w:fill="auto"/>
            <w:noWrap/>
            <w:vAlign w:val="bottom"/>
            <w:hideMark/>
          </w:tcPr>
          <w:p w14:paraId="07A378E0" w14:textId="77777777" w:rsidR="00C23352" w:rsidRPr="00263CB7" w:rsidRDefault="00C23352" w:rsidP="004B07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sz w:val="24"/>
                <w:szCs w:val="24"/>
              </w:rPr>
              <w:t>3 or 4 findings</w:t>
            </w:r>
          </w:p>
        </w:tc>
        <w:tc>
          <w:tcPr>
            <w:tcW w:w="3640" w:type="dxa"/>
            <w:shd w:val="clear" w:color="auto" w:fill="auto"/>
            <w:noWrap/>
            <w:vAlign w:val="bottom"/>
          </w:tcPr>
          <w:p w14:paraId="2560E9D1" w14:textId="5B9B8A8E" w:rsidR="00C23352" w:rsidRPr="00263CB7" w:rsidRDefault="0062056C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2E682E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070" w:type="dxa"/>
            <w:shd w:val="clear" w:color="auto" w:fill="auto"/>
            <w:noWrap/>
            <w:vAlign w:val="bottom"/>
          </w:tcPr>
          <w:p w14:paraId="11F6B27F" w14:textId="07AE8753" w:rsidR="00C23352" w:rsidRPr="00263CB7" w:rsidRDefault="0062056C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  <w:r w:rsidR="002E682E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</w:tr>
      <w:tr w:rsidR="00C23352" w:rsidRPr="00263CB7" w14:paraId="28019442" w14:textId="77777777" w:rsidTr="004B07B1">
        <w:trPr>
          <w:trHeight w:val="309"/>
        </w:trPr>
        <w:tc>
          <w:tcPr>
            <w:tcW w:w="3124" w:type="dxa"/>
            <w:shd w:val="clear" w:color="auto" w:fill="auto"/>
            <w:noWrap/>
            <w:vAlign w:val="bottom"/>
            <w:hideMark/>
          </w:tcPr>
          <w:p w14:paraId="37DC0EF0" w14:textId="77777777" w:rsidR="00C23352" w:rsidRPr="00263CB7" w:rsidRDefault="00C23352" w:rsidP="004B07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sz w:val="24"/>
                <w:szCs w:val="24"/>
              </w:rPr>
              <w:t>5 or 6 findings</w:t>
            </w:r>
          </w:p>
        </w:tc>
        <w:tc>
          <w:tcPr>
            <w:tcW w:w="3640" w:type="dxa"/>
            <w:shd w:val="clear" w:color="auto" w:fill="auto"/>
            <w:noWrap/>
            <w:vAlign w:val="bottom"/>
          </w:tcPr>
          <w:p w14:paraId="1035DD84" w14:textId="43589101" w:rsidR="00C23352" w:rsidRPr="00263CB7" w:rsidRDefault="0062056C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3070" w:type="dxa"/>
            <w:shd w:val="clear" w:color="auto" w:fill="auto"/>
            <w:noWrap/>
            <w:vAlign w:val="bottom"/>
          </w:tcPr>
          <w:p w14:paraId="7D7FB9A3" w14:textId="77777777" w:rsidR="00C23352" w:rsidRPr="00263CB7" w:rsidRDefault="00C23352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hAnsi="Arial" w:cs="Arial"/>
                <w:color w:val="000000"/>
                <w:sz w:val="24"/>
                <w:szCs w:val="24"/>
              </w:rPr>
              <w:t>7%</w:t>
            </w:r>
          </w:p>
        </w:tc>
      </w:tr>
      <w:tr w:rsidR="00C23352" w:rsidRPr="00263CB7" w14:paraId="1EBC94B9" w14:textId="77777777" w:rsidTr="004B07B1">
        <w:trPr>
          <w:trHeight w:val="309"/>
        </w:trPr>
        <w:tc>
          <w:tcPr>
            <w:tcW w:w="3124" w:type="dxa"/>
            <w:shd w:val="clear" w:color="auto" w:fill="auto"/>
            <w:noWrap/>
            <w:vAlign w:val="bottom"/>
            <w:hideMark/>
          </w:tcPr>
          <w:p w14:paraId="5FA16D22" w14:textId="77777777" w:rsidR="00C23352" w:rsidRPr="00263CB7" w:rsidRDefault="00C23352" w:rsidP="004B07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sz w:val="24"/>
                <w:szCs w:val="24"/>
              </w:rPr>
              <w:t>7 or 8 findings</w:t>
            </w:r>
          </w:p>
        </w:tc>
        <w:tc>
          <w:tcPr>
            <w:tcW w:w="3640" w:type="dxa"/>
            <w:shd w:val="clear" w:color="auto" w:fill="auto"/>
            <w:noWrap/>
            <w:vAlign w:val="bottom"/>
          </w:tcPr>
          <w:p w14:paraId="4EE4A44A" w14:textId="47947BBA" w:rsidR="00C23352" w:rsidRPr="00263CB7" w:rsidRDefault="002E682E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070" w:type="dxa"/>
            <w:shd w:val="clear" w:color="auto" w:fill="auto"/>
            <w:noWrap/>
            <w:vAlign w:val="bottom"/>
          </w:tcPr>
          <w:p w14:paraId="347F9D26" w14:textId="314985A2" w:rsidR="00C23352" w:rsidRPr="00263CB7" w:rsidRDefault="0062056C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2E682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C23352" w:rsidRPr="00263CB7" w14:paraId="7DD8E3C5" w14:textId="77777777" w:rsidTr="004B07B1">
        <w:trPr>
          <w:trHeight w:val="309"/>
        </w:trPr>
        <w:tc>
          <w:tcPr>
            <w:tcW w:w="3124" w:type="dxa"/>
            <w:shd w:val="clear" w:color="auto" w:fill="auto"/>
            <w:noWrap/>
            <w:vAlign w:val="bottom"/>
            <w:hideMark/>
          </w:tcPr>
          <w:p w14:paraId="43A22F7C" w14:textId="77777777" w:rsidR="00C23352" w:rsidRPr="00263CB7" w:rsidRDefault="00C23352" w:rsidP="004B07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sz w:val="24"/>
                <w:szCs w:val="24"/>
              </w:rPr>
              <w:t>9 or 10 findings</w:t>
            </w:r>
          </w:p>
        </w:tc>
        <w:tc>
          <w:tcPr>
            <w:tcW w:w="3640" w:type="dxa"/>
            <w:shd w:val="clear" w:color="auto" w:fill="auto"/>
            <w:noWrap/>
            <w:vAlign w:val="bottom"/>
          </w:tcPr>
          <w:p w14:paraId="40047D51" w14:textId="1CF2081C" w:rsidR="00C23352" w:rsidRPr="00263CB7" w:rsidRDefault="002E682E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070" w:type="dxa"/>
            <w:shd w:val="clear" w:color="auto" w:fill="auto"/>
            <w:noWrap/>
            <w:vAlign w:val="bottom"/>
          </w:tcPr>
          <w:p w14:paraId="07485B08" w14:textId="3DFFE8A6" w:rsidR="00C23352" w:rsidRPr="00263CB7" w:rsidRDefault="002E682E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23352" w:rsidRPr="00263CB7" w14:paraId="0F0FC7E3" w14:textId="77777777" w:rsidTr="004B07B1">
        <w:trPr>
          <w:trHeight w:val="309"/>
        </w:trPr>
        <w:tc>
          <w:tcPr>
            <w:tcW w:w="3124" w:type="dxa"/>
            <w:shd w:val="clear" w:color="auto" w:fill="auto"/>
            <w:noWrap/>
            <w:vAlign w:val="bottom"/>
            <w:hideMark/>
          </w:tcPr>
          <w:p w14:paraId="04A700AB" w14:textId="77777777" w:rsidR="00C23352" w:rsidRPr="00263CB7" w:rsidRDefault="00C23352" w:rsidP="004B07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sz w:val="24"/>
                <w:szCs w:val="24"/>
              </w:rPr>
              <w:t>11 or 12 findings</w:t>
            </w:r>
          </w:p>
        </w:tc>
        <w:tc>
          <w:tcPr>
            <w:tcW w:w="3640" w:type="dxa"/>
            <w:shd w:val="clear" w:color="auto" w:fill="auto"/>
            <w:noWrap/>
            <w:vAlign w:val="bottom"/>
          </w:tcPr>
          <w:p w14:paraId="15D15C97" w14:textId="51A35BB2" w:rsidR="00C23352" w:rsidRPr="00263CB7" w:rsidRDefault="0062056C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070" w:type="dxa"/>
            <w:shd w:val="clear" w:color="auto" w:fill="auto"/>
            <w:noWrap/>
            <w:vAlign w:val="bottom"/>
          </w:tcPr>
          <w:p w14:paraId="1BD9D6BD" w14:textId="0F8FE090" w:rsidR="00C23352" w:rsidRPr="00263CB7" w:rsidRDefault="0062056C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C23352" w:rsidRPr="00263CB7" w14:paraId="6D6A7497" w14:textId="77777777" w:rsidTr="004B07B1">
        <w:trPr>
          <w:trHeight w:val="309"/>
        </w:trPr>
        <w:tc>
          <w:tcPr>
            <w:tcW w:w="3124" w:type="dxa"/>
            <w:shd w:val="clear" w:color="auto" w:fill="auto"/>
            <w:noWrap/>
            <w:vAlign w:val="bottom"/>
            <w:hideMark/>
          </w:tcPr>
          <w:p w14:paraId="6B73FDEB" w14:textId="77777777" w:rsidR="00C23352" w:rsidRPr="00263CB7" w:rsidRDefault="00C23352" w:rsidP="004B07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sz w:val="24"/>
                <w:szCs w:val="24"/>
              </w:rPr>
              <w:t>13-16 findings</w:t>
            </w:r>
          </w:p>
        </w:tc>
        <w:tc>
          <w:tcPr>
            <w:tcW w:w="3640" w:type="dxa"/>
            <w:shd w:val="clear" w:color="auto" w:fill="auto"/>
            <w:noWrap/>
            <w:vAlign w:val="bottom"/>
          </w:tcPr>
          <w:p w14:paraId="5BE111E3" w14:textId="71B6E62B" w:rsidR="00C23352" w:rsidRPr="00263CB7" w:rsidRDefault="0062056C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070" w:type="dxa"/>
            <w:shd w:val="clear" w:color="auto" w:fill="auto"/>
            <w:noWrap/>
            <w:vAlign w:val="bottom"/>
          </w:tcPr>
          <w:p w14:paraId="6478127F" w14:textId="64423CB0" w:rsidR="00C23352" w:rsidRPr="00263CB7" w:rsidRDefault="0062056C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1%</w:t>
            </w:r>
          </w:p>
        </w:tc>
      </w:tr>
      <w:tr w:rsidR="00C23352" w:rsidRPr="00263CB7" w14:paraId="1A6F3521" w14:textId="77777777" w:rsidTr="004B07B1">
        <w:trPr>
          <w:trHeight w:val="309"/>
        </w:trPr>
        <w:tc>
          <w:tcPr>
            <w:tcW w:w="3124" w:type="dxa"/>
            <w:shd w:val="clear" w:color="auto" w:fill="auto"/>
            <w:noWrap/>
            <w:vAlign w:val="bottom"/>
            <w:hideMark/>
          </w:tcPr>
          <w:p w14:paraId="2807B89F" w14:textId="77777777" w:rsidR="00C23352" w:rsidRPr="00263CB7" w:rsidRDefault="00C23352" w:rsidP="004B07B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63CB7">
              <w:rPr>
                <w:rFonts w:ascii="Arial" w:eastAsia="Times New Roman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3640" w:type="dxa"/>
            <w:shd w:val="clear" w:color="auto" w:fill="auto"/>
            <w:noWrap/>
            <w:vAlign w:val="bottom"/>
          </w:tcPr>
          <w:p w14:paraId="4B4277AA" w14:textId="63CC83B9" w:rsidR="00C23352" w:rsidRPr="00263CB7" w:rsidRDefault="0062056C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3070" w:type="dxa"/>
            <w:shd w:val="clear" w:color="auto" w:fill="auto"/>
            <w:noWrap/>
            <w:vAlign w:val="bottom"/>
          </w:tcPr>
          <w:p w14:paraId="4FF58EAC" w14:textId="3AA9384D" w:rsidR="00C23352" w:rsidRPr="00263CB7" w:rsidRDefault="00C23352" w:rsidP="004B0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263CB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  <w:r w:rsidR="002E682E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</w:tr>
    </w:tbl>
    <w:p w14:paraId="74C7DCCA" w14:textId="77777777" w:rsidR="00C23352" w:rsidRPr="00263CB7" w:rsidRDefault="00C23352" w:rsidP="00C233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A5C3E1" w14:textId="77777777" w:rsidR="00C23352" w:rsidRPr="00263CB7" w:rsidRDefault="00C23352" w:rsidP="00C233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7B70789" w14:textId="77777777" w:rsidR="006F599D" w:rsidRDefault="006F599D" w:rsidP="00C233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A587086" w14:textId="66F61EC7" w:rsidR="00C23352" w:rsidRPr="00263CB7" w:rsidRDefault="00C23352" w:rsidP="00C2335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63CB7">
        <w:rPr>
          <w:rFonts w:ascii="Arial" w:hAnsi="Arial" w:cs="Arial"/>
          <w:b/>
          <w:sz w:val="24"/>
          <w:szCs w:val="24"/>
        </w:rPr>
        <w:t>COMPLIANCE INITIATIVES</w:t>
      </w:r>
    </w:p>
    <w:p w14:paraId="4DE179BA" w14:textId="77777777" w:rsidR="00C23352" w:rsidRPr="00263CB7" w:rsidRDefault="00C23352" w:rsidP="00C233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07C57C" w14:textId="1AF291A4" w:rsidR="00C23352" w:rsidRPr="00263CB7" w:rsidRDefault="00C23352" w:rsidP="00C233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63CB7">
        <w:rPr>
          <w:rFonts w:ascii="Arial" w:hAnsi="Arial" w:cs="Arial"/>
          <w:sz w:val="24"/>
          <w:szCs w:val="24"/>
        </w:rPr>
        <w:t>During 20</w:t>
      </w:r>
      <w:r w:rsidR="00313950">
        <w:rPr>
          <w:rFonts w:ascii="Arial" w:hAnsi="Arial" w:cs="Arial"/>
          <w:sz w:val="24"/>
          <w:szCs w:val="24"/>
        </w:rPr>
        <w:t>2</w:t>
      </w:r>
      <w:r w:rsidR="00C526EF">
        <w:rPr>
          <w:rFonts w:ascii="Arial" w:hAnsi="Arial" w:cs="Arial"/>
          <w:sz w:val="24"/>
          <w:szCs w:val="24"/>
        </w:rPr>
        <w:t>3</w:t>
      </w:r>
      <w:r w:rsidRPr="00263CB7">
        <w:rPr>
          <w:rFonts w:ascii="Arial" w:hAnsi="Arial" w:cs="Arial"/>
          <w:sz w:val="24"/>
          <w:szCs w:val="24"/>
        </w:rPr>
        <w:t xml:space="preserve">, Compliance Program team members undertook </w:t>
      </w:r>
      <w:proofErr w:type="gramStart"/>
      <w:r w:rsidRPr="00263CB7">
        <w:rPr>
          <w:rFonts w:ascii="Arial" w:hAnsi="Arial" w:cs="Arial"/>
          <w:sz w:val="24"/>
          <w:szCs w:val="24"/>
        </w:rPr>
        <w:t>a number of</w:t>
      </w:r>
      <w:proofErr w:type="gramEnd"/>
      <w:r w:rsidRPr="00263CB7">
        <w:rPr>
          <w:rFonts w:ascii="Arial" w:hAnsi="Arial" w:cs="Arial"/>
          <w:sz w:val="24"/>
          <w:szCs w:val="24"/>
        </w:rPr>
        <w:t xml:space="preserve"> special projects to improve internal work processes or education for the research community. </w:t>
      </w:r>
    </w:p>
    <w:p w14:paraId="6B301BFB" w14:textId="77777777" w:rsidR="00C23352" w:rsidRPr="00263CB7" w:rsidRDefault="00C23352" w:rsidP="00C233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FC13C0" w14:textId="77777777" w:rsidR="006502A3" w:rsidRDefault="006502A3" w:rsidP="00C233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1DA798F" w14:textId="77777777" w:rsidR="006502A3" w:rsidRDefault="006502A3" w:rsidP="00C233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AE68A4" w14:textId="79C71F70" w:rsidR="00C23352" w:rsidRPr="00263CB7" w:rsidRDefault="00C23352" w:rsidP="00C2335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63CB7">
        <w:rPr>
          <w:rFonts w:ascii="Arial" w:hAnsi="Arial" w:cs="Arial"/>
          <w:b/>
          <w:sz w:val="24"/>
          <w:szCs w:val="24"/>
        </w:rPr>
        <w:t>Table 9.  20</w:t>
      </w:r>
      <w:r w:rsidR="00873ABE">
        <w:rPr>
          <w:rFonts w:ascii="Arial" w:hAnsi="Arial" w:cs="Arial"/>
          <w:b/>
          <w:sz w:val="24"/>
          <w:szCs w:val="24"/>
        </w:rPr>
        <w:t>2</w:t>
      </w:r>
      <w:r w:rsidR="00C526EF">
        <w:rPr>
          <w:rFonts w:ascii="Arial" w:hAnsi="Arial" w:cs="Arial"/>
          <w:b/>
          <w:sz w:val="24"/>
          <w:szCs w:val="24"/>
        </w:rPr>
        <w:t>3</w:t>
      </w:r>
      <w:r w:rsidRPr="00263CB7">
        <w:rPr>
          <w:rFonts w:ascii="Arial" w:hAnsi="Arial" w:cs="Arial"/>
          <w:b/>
          <w:sz w:val="24"/>
          <w:szCs w:val="24"/>
        </w:rPr>
        <w:t xml:space="preserve"> Accomplishments and Key Contributors</w:t>
      </w:r>
    </w:p>
    <w:p w14:paraId="50F12A2D" w14:textId="77777777" w:rsidR="00C23352" w:rsidRPr="00263CB7" w:rsidRDefault="00C23352" w:rsidP="00C233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3"/>
        <w:gridCol w:w="3827"/>
      </w:tblGrid>
      <w:tr w:rsidR="00C23352" w:rsidRPr="00263CB7" w14:paraId="7918E046" w14:textId="77777777" w:rsidTr="004B07B1">
        <w:tc>
          <w:tcPr>
            <w:tcW w:w="5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BEEF1" w14:textId="77777777" w:rsidR="00C23352" w:rsidRPr="00263CB7" w:rsidRDefault="00C23352" w:rsidP="004B07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3CB7">
              <w:rPr>
                <w:rFonts w:ascii="Arial" w:hAnsi="Arial" w:cs="Arial"/>
                <w:b/>
                <w:bCs/>
                <w:sz w:val="24"/>
                <w:szCs w:val="24"/>
              </w:rPr>
              <w:t>Project in Brief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A7149" w14:textId="77777777" w:rsidR="00C23352" w:rsidRPr="00263CB7" w:rsidRDefault="00C23352" w:rsidP="004B07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3C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Key Contributors</w:t>
            </w:r>
          </w:p>
        </w:tc>
      </w:tr>
      <w:tr w:rsidR="00C23352" w:rsidRPr="00263CB7" w14:paraId="75397865" w14:textId="77777777" w:rsidTr="004B07B1">
        <w:tc>
          <w:tcPr>
            <w:tcW w:w="5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0C6B4" w14:textId="04E4F026" w:rsidR="00C23352" w:rsidRPr="00263CB7" w:rsidRDefault="00C23352" w:rsidP="004B07B1">
            <w:pPr>
              <w:rPr>
                <w:rFonts w:ascii="Arial" w:hAnsi="Arial" w:cs="Arial"/>
                <w:sz w:val="24"/>
                <w:szCs w:val="24"/>
              </w:rPr>
            </w:pPr>
            <w:r w:rsidRPr="00263CB7">
              <w:rPr>
                <w:rFonts w:ascii="Arial" w:hAnsi="Arial" w:cs="Arial"/>
                <w:sz w:val="24"/>
                <w:szCs w:val="24"/>
              </w:rPr>
              <w:t xml:space="preserve">Updated Compliance Educational Handouts to be current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3C92B" w14:textId="1AE0F35B" w:rsidR="00C23352" w:rsidRPr="00263CB7" w:rsidRDefault="00710213" w:rsidP="004B07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5A, 4A</w:t>
            </w:r>
          </w:p>
        </w:tc>
      </w:tr>
      <w:tr w:rsidR="00C23352" w:rsidRPr="00263CB7" w14:paraId="7A23149B" w14:textId="77777777" w:rsidTr="004B07B1">
        <w:tc>
          <w:tcPr>
            <w:tcW w:w="5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17C01" w14:textId="36551641" w:rsidR="00C23352" w:rsidRPr="00263CB7" w:rsidRDefault="00C526EF" w:rsidP="004B07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Created educational tool for electronic informed consent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F2107" w14:textId="79D3F2FE" w:rsidR="00C23352" w:rsidRPr="00263CB7" w:rsidRDefault="00710213" w:rsidP="004B07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5A, 4A</w:t>
            </w:r>
          </w:p>
        </w:tc>
      </w:tr>
      <w:tr w:rsidR="003F1DFA" w:rsidRPr="00263CB7" w14:paraId="6502E8C6" w14:textId="77777777" w:rsidTr="004B07B1">
        <w:tc>
          <w:tcPr>
            <w:tcW w:w="5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F7843" w14:textId="56AD565D" w:rsidR="003F1DFA" w:rsidRPr="00263CB7" w:rsidRDefault="00C526EF" w:rsidP="004B07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Updated content for new Human Subjects Office website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58B04" w14:textId="2BCE6E51" w:rsidR="003F1DFA" w:rsidRDefault="00710213" w:rsidP="004B07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5A, 3A</w:t>
            </w:r>
          </w:p>
        </w:tc>
      </w:tr>
      <w:tr w:rsidR="00C23352" w:rsidRPr="00263CB7" w14:paraId="7322F19A" w14:textId="77777777" w:rsidTr="004B07B1">
        <w:tc>
          <w:tcPr>
            <w:tcW w:w="5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A834F" w14:textId="1E60F445" w:rsidR="00C23352" w:rsidRPr="00263CB7" w:rsidRDefault="00C23352" w:rsidP="004B07B1">
            <w:pPr>
              <w:rPr>
                <w:rFonts w:ascii="Arial" w:hAnsi="Arial" w:cs="Arial"/>
                <w:sz w:val="24"/>
                <w:szCs w:val="24"/>
              </w:rPr>
            </w:pPr>
            <w:r w:rsidRPr="00263CB7">
              <w:rPr>
                <w:rFonts w:ascii="Arial" w:hAnsi="Arial" w:cs="Arial"/>
                <w:sz w:val="24"/>
                <w:szCs w:val="24"/>
              </w:rPr>
              <w:t xml:space="preserve">Revised </w:t>
            </w:r>
            <w:r w:rsidR="00C526EF">
              <w:rPr>
                <w:rFonts w:ascii="Arial" w:hAnsi="Arial" w:cs="Arial"/>
                <w:sz w:val="24"/>
                <w:szCs w:val="24"/>
              </w:rPr>
              <w:t>SPI-FA SOP and surveys</w:t>
            </w:r>
            <w:r w:rsidRPr="00263C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C3110" w14:textId="632F4F3B" w:rsidR="00C23352" w:rsidRPr="00263CB7" w:rsidRDefault="00710213" w:rsidP="004B07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4A</w:t>
            </w:r>
          </w:p>
        </w:tc>
      </w:tr>
    </w:tbl>
    <w:p w14:paraId="1E8329C6" w14:textId="77777777" w:rsidR="00C23352" w:rsidRPr="00263CB7" w:rsidRDefault="00C23352" w:rsidP="00C233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3"/>
        <w:gridCol w:w="3827"/>
      </w:tblGrid>
      <w:tr w:rsidR="00C23352" w:rsidRPr="00263CB7" w14:paraId="11DB9F11" w14:textId="77777777" w:rsidTr="004B07B1">
        <w:tc>
          <w:tcPr>
            <w:tcW w:w="5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65498" w14:textId="77777777" w:rsidR="00C23352" w:rsidRPr="00263CB7" w:rsidRDefault="00C23352" w:rsidP="004B07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3CB7">
              <w:rPr>
                <w:rFonts w:ascii="Arial" w:hAnsi="Arial" w:cs="Arial"/>
                <w:b/>
                <w:bCs/>
                <w:sz w:val="24"/>
                <w:szCs w:val="24"/>
              </w:rPr>
              <w:t>Project in Brief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80B06" w14:textId="77777777" w:rsidR="00C23352" w:rsidRPr="00263CB7" w:rsidRDefault="00C23352" w:rsidP="004B07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3C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Key Contributors</w:t>
            </w:r>
          </w:p>
        </w:tc>
      </w:tr>
      <w:tr w:rsidR="00C23352" w:rsidRPr="00263CB7" w14:paraId="1C4F8ACF" w14:textId="77777777" w:rsidTr="004B07B1">
        <w:tc>
          <w:tcPr>
            <w:tcW w:w="5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6D2CD" w14:textId="4BE54508" w:rsidR="00C23352" w:rsidRDefault="0030588A" w:rsidP="004B07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Presentation: FDA Site Inspection Guidance Document, February 2023</w:t>
            </w:r>
          </w:p>
          <w:p w14:paraId="2AD78577" w14:textId="77777777" w:rsidR="008C3058" w:rsidRPr="00263CB7" w:rsidRDefault="008C3058" w:rsidP="004B07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471F436" w14:textId="77777777" w:rsidR="00C23352" w:rsidRPr="00263CB7" w:rsidRDefault="00C23352" w:rsidP="004B07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2B17C" w14:textId="450C66A4" w:rsidR="00C23352" w:rsidRPr="00263CB7" w:rsidRDefault="00710213" w:rsidP="004B07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5A</w:t>
            </w:r>
          </w:p>
        </w:tc>
      </w:tr>
      <w:tr w:rsidR="008C3058" w:rsidRPr="00263CB7" w14:paraId="4F48B741" w14:textId="77777777" w:rsidTr="004B07B1">
        <w:tc>
          <w:tcPr>
            <w:tcW w:w="5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79D43" w14:textId="77777777" w:rsidR="008C3058" w:rsidRDefault="008C3058" w:rsidP="008C30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Presentation: Hot Topics and Updates, March 2023 (Informed consent documentation and recordkeeping)</w:t>
            </w:r>
          </w:p>
          <w:p w14:paraId="280C2FDE" w14:textId="45F00B6F" w:rsidR="008C3058" w:rsidRDefault="008C3058" w:rsidP="008C30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50E0B" w14:textId="4FAAF9D4" w:rsidR="008C3058" w:rsidRDefault="00710213" w:rsidP="008C30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5A</w:t>
            </w:r>
          </w:p>
        </w:tc>
      </w:tr>
      <w:tr w:rsidR="008C3058" w:rsidRPr="00263CB7" w14:paraId="67D53BC3" w14:textId="77777777" w:rsidTr="008C3058">
        <w:trPr>
          <w:trHeight w:val="808"/>
        </w:trPr>
        <w:tc>
          <w:tcPr>
            <w:tcW w:w="5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37D1B" w14:textId="40F7B2D4" w:rsidR="008C3058" w:rsidRDefault="008C3058" w:rsidP="008C30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Presentation: Unlocking the Mystery of IRB Compliance, September 2023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3432F" w14:textId="3B227A3E" w:rsidR="008C3058" w:rsidRDefault="00710213" w:rsidP="008C30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5A, 4A</w:t>
            </w:r>
          </w:p>
        </w:tc>
      </w:tr>
      <w:tr w:rsidR="008C3058" w:rsidRPr="00263CB7" w14:paraId="3E550419" w14:textId="77777777" w:rsidTr="008C3058">
        <w:tc>
          <w:tcPr>
            <w:tcW w:w="5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14654" w14:textId="77777777" w:rsidR="008C3058" w:rsidRDefault="008C3058" w:rsidP="008C30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Presentation: Hot Topics and Updates, October 2023 (Electronic Consent and Checklist)</w:t>
            </w:r>
          </w:p>
          <w:p w14:paraId="1F78EBE3" w14:textId="0082D56C" w:rsidR="008C3058" w:rsidRPr="00263CB7" w:rsidRDefault="008C3058" w:rsidP="008C30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E2EC4" w14:textId="733F1CCE" w:rsidR="008C3058" w:rsidRPr="00263CB7" w:rsidRDefault="00710213" w:rsidP="008C30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5A</w:t>
            </w:r>
          </w:p>
        </w:tc>
      </w:tr>
      <w:tr w:rsidR="00950703" w:rsidRPr="00263CB7" w14:paraId="0C209BD3" w14:textId="77777777" w:rsidTr="00632B3F">
        <w:tc>
          <w:tcPr>
            <w:tcW w:w="5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27BF4" w14:textId="77777777" w:rsidR="00950703" w:rsidRPr="00263CB7" w:rsidRDefault="00950703" w:rsidP="00632B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Presentation: Human Subjects Research in the UIHC, November 2023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A15BB" w14:textId="2C9AC426" w:rsidR="00950703" w:rsidRPr="00263CB7" w:rsidRDefault="00710213" w:rsidP="00632B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5A</w:t>
            </w:r>
          </w:p>
        </w:tc>
      </w:tr>
      <w:tr w:rsidR="00950703" w:rsidRPr="00263CB7" w14:paraId="70E1E648" w14:textId="77777777" w:rsidTr="008C3058">
        <w:tc>
          <w:tcPr>
            <w:tcW w:w="5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BE0D3" w14:textId="77777777" w:rsidR="00950703" w:rsidRDefault="00950703" w:rsidP="008C30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IRB Connection Articles: March, October, November, December 2023</w:t>
            </w:r>
          </w:p>
          <w:p w14:paraId="07C9D2D7" w14:textId="7F82C8A8" w:rsidR="00950703" w:rsidRDefault="00950703" w:rsidP="008C30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A35E1" w14:textId="786D99F9" w:rsidR="00950703" w:rsidRDefault="00710213" w:rsidP="008C30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5A</w:t>
            </w:r>
          </w:p>
        </w:tc>
      </w:tr>
    </w:tbl>
    <w:p w14:paraId="677EACDA" w14:textId="77777777" w:rsidR="00C23352" w:rsidRPr="00263CB7" w:rsidRDefault="00C23352" w:rsidP="00C233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1BA0B4E" w14:textId="77777777" w:rsidR="00C23352" w:rsidRPr="00263CB7" w:rsidRDefault="00C23352" w:rsidP="00C23352">
      <w:pPr>
        <w:pStyle w:val="Heading2"/>
        <w:spacing w:before="0"/>
        <w:ind w:left="360"/>
        <w:rPr>
          <w:rFonts w:ascii="Arial" w:hAnsi="Arial" w:cs="Arial"/>
          <w:b/>
          <w:bCs/>
          <w:sz w:val="24"/>
          <w:szCs w:val="24"/>
        </w:rPr>
      </w:pPr>
    </w:p>
    <w:p w14:paraId="59505639" w14:textId="77777777" w:rsidR="00C23352" w:rsidRPr="00263CB7" w:rsidRDefault="00C23352" w:rsidP="00C2335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63CB7">
        <w:rPr>
          <w:rFonts w:ascii="Arial" w:hAnsi="Arial" w:cs="Arial"/>
          <w:b/>
          <w:sz w:val="28"/>
          <w:szCs w:val="28"/>
        </w:rPr>
        <w:t>COMPLIANCE PROGRAM STAFF DEVELOPMENT</w:t>
      </w:r>
    </w:p>
    <w:p w14:paraId="7A08ACF6" w14:textId="77777777" w:rsidR="00C23352" w:rsidRPr="00540475" w:rsidRDefault="00C23352" w:rsidP="00C233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E04B8F" w14:textId="2C35D2AB" w:rsidR="00C23352" w:rsidRPr="00263CB7" w:rsidRDefault="00C23352" w:rsidP="00C2335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63CB7">
        <w:rPr>
          <w:rFonts w:ascii="Arial" w:hAnsi="Arial" w:cs="Arial"/>
          <w:sz w:val="24"/>
          <w:szCs w:val="24"/>
        </w:rPr>
        <w:t>Members of the Compliance Program participated in a variety of professional development opportunities in 20</w:t>
      </w:r>
      <w:r w:rsidR="00873ABE">
        <w:rPr>
          <w:rFonts w:ascii="Arial" w:hAnsi="Arial" w:cs="Arial"/>
          <w:sz w:val="24"/>
          <w:szCs w:val="24"/>
        </w:rPr>
        <w:t>2</w:t>
      </w:r>
      <w:r w:rsidR="00C526EF">
        <w:rPr>
          <w:rFonts w:ascii="Arial" w:hAnsi="Arial" w:cs="Arial"/>
          <w:sz w:val="24"/>
          <w:szCs w:val="24"/>
        </w:rPr>
        <w:t>3</w:t>
      </w:r>
      <w:r w:rsidRPr="00263CB7">
        <w:rPr>
          <w:rFonts w:ascii="Arial" w:hAnsi="Arial" w:cs="Arial"/>
          <w:sz w:val="24"/>
          <w:szCs w:val="24"/>
        </w:rPr>
        <w:t xml:space="preserve">. These included webinars </w:t>
      </w:r>
      <w:r w:rsidR="00BA7E13">
        <w:rPr>
          <w:rFonts w:ascii="Arial" w:hAnsi="Arial" w:cs="Arial"/>
          <w:sz w:val="24"/>
          <w:szCs w:val="24"/>
        </w:rPr>
        <w:t xml:space="preserve">and trainings </w:t>
      </w:r>
      <w:r w:rsidRPr="00263CB7">
        <w:rPr>
          <w:rFonts w:ascii="Arial" w:hAnsi="Arial" w:cs="Arial"/>
          <w:sz w:val="24"/>
          <w:szCs w:val="24"/>
        </w:rPr>
        <w:t xml:space="preserve">on </w:t>
      </w:r>
      <w:r w:rsidR="00BA7E13">
        <w:rPr>
          <w:rFonts w:ascii="Arial" w:hAnsi="Arial" w:cs="Arial"/>
          <w:sz w:val="24"/>
          <w:szCs w:val="24"/>
        </w:rPr>
        <w:t xml:space="preserve">a variety of relevant </w:t>
      </w:r>
      <w:r w:rsidRPr="00263CB7">
        <w:rPr>
          <w:rFonts w:ascii="Arial" w:hAnsi="Arial" w:cs="Arial"/>
          <w:sz w:val="24"/>
          <w:szCs w:val="24"/>
        </w:rPr>
        <w:t>topics</w:t>
      </w:r>
      <w:r w:rsidR="00BA7E13">
        <w:rPr>
          <w:rFonts w:ascii="Arial" w:hAnsi="Arial" w:cs="Arial"/>
          <w:sz w:val="24"/>
          <w:szCs w:val="24"/>
        </w:rPr>
        <w:t xml:space="preserve"> from AAHRPP, </w:t>
      </w:r>
      <w:r w:rsidRPr="00263CB7">
        <w:rPr>
          <w:rFonts w:ascii="Arial" w:eastAsia="Times New Roman" w:hAnsi="Arial" w:cs="Arial"/>
          <w:sz w:val="24"/>
          <w:szCs w:val="24"/>
        </w:rPr>
        <w:t>PRIM&amp;R</w:t>
      </w:r>
      <w:r w:rsidR="00BA7E13">
        <w:rPr>
          <w:rFonts w:ascii="Arial" w:eastAsia="Times New Roman" w:hAnsi="Arial" w:cs="Arial"/>
          <w:sz w:val="24"/>
          <w:szCs w:val="24"/>
        </w:rPr>
        <w:t xml:space="preserve">, WCG, Advarra, and OHRP.  </w:t>
      </w:r>
      <w:r w:rsidR="00710213">
        <w:rPr>
          <w:rFonts w:ascii="Arial" w:eastAsia="Times New Roman" w:hAnsi="Arial" w:cs="Arial"/>
          <w:sz w:val="24"/>
          <w:szCs w:val="24"/>
        </w:rPr>
        <w:t>The Compliance Manager</w:t>
      </w:r>
      <w:r w:rsidR="00665798">
        <w:rPr>
          <w:rFonts w:ascii="Arial" w:eastAsia="Times New Roman" w:hAnsi="Arial" w:cs="Arial"/>
          <w:sz w:val="24"/>
          <w:szCs w:val="24"/>
        </w:rPr>
        <w:t xml:space="preserve"> also attended AAHRPP’s Annual Conference (virtual)</w:t>
      </w:r>
      <w:r w:rsidR="00710213">
        <w:rPr>
          <w:rFonts w:ascii="Arial" w:eastAsia="Times New Roman" w:hAnsi="Arial" w:cs="Arial"/>
          <w:sz w:val="24"/>
          <w:szCs w:val="24"/>
        </w:rPr>
        <w:t>, an</w:t>
      </w:r>
      <w:r w:rsidR="0030588A">
        <w:rPr>
          <w:rFonts w:ascii="Arial" w:eastAsia="Times New Roman" w:hAnsi="Arial" w:cs="Arial"/>
          <w:sz w:val="24"/>
          <w:szCs w:val="24"/>
        </w:rPr>
        <w:t xml:space="preserve">d the UI Learning and Development’s eight-week supervisor training series (Practical Applications of Supervisory Skills, Engaging Yourself).  </w:t>
      </w:r>
      <w:r w:rsidR="00710213">
        <w:rPr>
          <w:rFonts w:ascii="Arial" w:eastAsia="Times New Roman" w:hAnsi="Arial" w:cs="Arial"/>
          <w:sz w:val="24"/>
          <w:szCs w:val="24"/>
        </w:rPr>
        <w:t>The Compliance Manager</w:t>
      </w:r>
      <w:r w:rsidR="00CA69CA">
        <w:rPr>
          <w:rFonts w:ascii="Arial" w:eastAsia="Times New Roman" w:hAnsi="Arial" w:cs="Arial"/>
          <w:sz w:val="24"/>
          <w:szCs w:val="24"/>
        </w:rPr>
        <w:t xml:space="preserve"> is also a member of the Research Compliance </w:t>
      </w:r>
      <w:r w:rsidR="001109CD">
        <w:rPr>
          <w:rFonts w:ascii="Arial" w:eastAsia="Times New Roman" w:hAnsi="Arial" w:cs="Arial"/>
          <w:sz w:val="24"/>
          <w:szCs w:val="24"/>
        </w:rPr>
        <w:t>Network and</w:t>
      </w:r>
      <w:r w:rsidR="00CA69CA">
        <w:rPr>
          <w:rFonts w:ascii="Arial" w:eastAsia="Times New Roman" w:hAnsi="Arial" w:cs="Arial"/>
          <w:sz w:val="24"/>
          <w:szCs w:val="24"/>
        </w:rPr>
        <w:t xml:space="preserve"> serves as a member of </w:t>
      </w:r>
      <w:r w:rsidR="0030588A">
        <w:rPr>
          <w:rFonts w:ascii="Arial" w:eastAsia="Times New Roman" w:hAnsi="Arial" w:cs="Arial"/>
          <w:sz w:val="24"/>
          <w:szCs w:val="24"/>
        </w:rPr>
        <w:t>one</w:t>
      </w:r>
      <w:r w:rsidR="00CA69CA">
        <w:rPr>
          <w:rFonts w:ascii="Arial" w:eastAsia="Times New Roman" w:hAnsi="Arial" w:cs="Arial"/>
          <w:sz w:val="24"/>
          <w:szCs w:val="24"/>
        </w:rPr>
        <w:t xml:space="preserve"> of its working groups.</w:t>
      </w:r>
    </w:p>
    <w:p w14:paraId="6CBF7FE4" w14:textId="77777777" w:rsidR="00C23352" w:rsidRPr="00540475" w:rsidRDefault="00C23352" w:rsidP="00C23352">
      <w:pPr>
        <w:pStyle w:val="ListParagraph"/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99A50F5" w14:textId="77777777" w:rsidR="00C23352" w:rsidRPr="00263CB7" w:rsidRDefault="00C23352" w:rsidP="00C2335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63CB7">
        <w:rPr>
          <w:rFonts w:ascii="Arial" w:hAnsi="Arial" w:cs="Arial"/>
          <w:b/>
          <w:sz w:val="28"/>
          <w:szCs w:val="28"/>
        </w:rPr>
        <w:t>COMPLAINTS AND CONCERNS</w:t>
      </w:r>
    </w:p>
    <w:p w14:paraId="002075B0" w14:textId="77777777" w:rsidR="00C23352" w:rsidRPr="00540475" w:rsidRDefault="00C23352" w:rsidP="00C233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4F9AA1" w14:textId="5CD2AFF0" w:rsidR="00C23352" w:rsidRPr="00263CB7" w:rsidRDefault="00C23352" w:rsidP="00C23352">
      <w:pPr>
        <w:rPr>
          <w:rFonts w:ascii="Arial" w:hAnsi="Arial" w:cs="Arial"/>
          <w:sz w:val="24"/>
          <w:szCs w:val="24"/>
        </w:rPr>
      </w:pPr>
      <w:r w:rsidRPr="00263CB7">
        <w:rPr>
          <w:rFonts w:ascii="Arial" w:hAnsi="Arial" w:cs="Arial"/>
          <w:sz w:val="24"/>
          <w:szCs w:val="24"/>
        </w:rPr>
        <w:t xml:space="preserve">There were </w:t>
      </w:r>
      <w:r w:rsidR="005C6E84">
        <w:rPr>
          <w:rFonts w:ascii="Arial" w:hAnsi="Arial" w:cs="Arial"/>
          <w:sz w:val="24"/>
          <w:szCs w:val="24"/>
        </w:rPr>
        <w:t>11</w:t>
      </w:r>
      <w:r w:rsidRPr="00263CB7">
        <w:rPr>
          <w:rFonts w:ascii="Arial" w:hAnsi="Arial" w:cs="Arial"/>
          <w:sz w:val="24"/>
          <w:szCs w:val="24"/>
        </w:rPr>
        <w:t xml:space="preserve"> complaint and concern investigations documented in 20</w:t>
      </w:r>
      <w:r w:rsidR="00CA69CA">
        <w:rPr>
          <w:rFonts w:ascii="Arial" w:hAnsi="Arial" w:cs="Arial"/>
          <w:sz w:val="24"/>
          <w:szCs w:val="24"/>
        </w:rPr>
        <w:t>2</w:t>
      </w:r>
      <w:r w:rsidR="005C6E84">
        <w:rPr>
          <w:rFonts w:ascii="Arial" w:hAnsi="Arial" w:cs="Arial"/>
          <w:sz w:val="24"/>
          <w:szCs w:val="24"/>
        </w:rPr>
        <w:t>3</w:t>
      </w:r>
      <w:r w:rsidRPr="00263CB7">
        <w:rPr>
          <w:rFonts w:ascii="Arial" w:hAnsi="Arial" w:cs="Arial"/>
          <w:sz w:val="24"/>
          <w:szCs w:val="24"/>
        </w:rPr>
        <w:t xml:space="preserve">.  The table below summarizes the types of complaints and the HSO response. There were </w:t>
      </w:r>
      <w:r w:rsidR="004F44DD">
        <w:rPr>
          <w:rFonts w:ascii="Arial" w:hAnsi="Arial" w:cs="Arial"/>
          <w:sz w:val="24"/>
          <w:szCs w:val="24"/>
        </w:rPr>
        <w:t>five more</w:t>
      </w:r>
      <w:r w:rsidRPr="00263CB7">
        <w:rPr>
          <w:rFonts w:ascii="Arial" w:hAnsi="Arial" w:cs="Arial"/>
          <w:sz w:val="24"/>
          <w:szCs w:val="24"/>
        </w:rPr>
        <w:t xml:space="preserve"> complaints than recorded in 20</w:t>
      </w:r>
      <w:r w:rsidR="00CA69CA">
        <w:rPr>
          <w:rFonts w:ascii="Arial" w:hAnsi="Arial" w:cs="Arial"/>
          <w:sz w:val="24"/>
          <w:szCs w:val="24"/>
        </w:rPr>
        <w:t>2</w:t>
      </w:r>
      <w:r w:rsidR="004F44DD">
        <w:rPr>
          <w:rFonts w:ascii="Arial" w:hAnsi="Arial" w:cs="Arial"/>
          <w:sz w:val="24"/>
          <w:szCs w:val="24"/>
        </w:rPr>
        <w:t>2</w:t>
      </w:r>
      <w:r w:rsidRPr="00263CB7">
        <w:rPr>
          <w:rFonts w:ascii="Arial" w:hAnsi="Arial" w:cs="Arial"/>
          <w:sz w:val="24"/>
          <w:szCs w:val="24"/>
        </w:rPr>
        <w:t xml:space="preserve">.  Currently, this information is maintained in an Excel spreadsheet; however, our goal in the future is to incorporate the C/C tracking into </w:t>
      </w:r>
      <w:proofErr w:type="spellStart"/>
      <w:r w:rsidRPr="00263CB7">
        <w:rPr>
          <w:rFonts w:ascii="Arial" w:hAnsi="Arial" w:cs="Arial"/>
          <w:sz w:val="24"/>
          <w:szCs w:val="24"/>
        </w:rPr>
        <w:t>HawkIRB</w:t>
      </w:r>
      <w:proofErr w:type="spellEnd"/>
      <w:r w:rsidRPr="00263CB7">
        <w:rPr>
          <w:rFonts w:ascii="Arial" w:hAnsi="Arial" w:cs="Arial"/>
          <w:sz w:val="24"/>
          <w:szCs w:val="24"/>
        </w:rPr>
        <w:t xml:space="preserve">. </w:t>
      </w:r>
    </w:p>
    <w:p w14:paraId="20EC0D73" w14:textId="77777777" w:rsidR="00C23352" w:rsidRPr="00263CB7" w:rsidRDefault="00C23352" w:rsidP="00C23352">
      <w:pPr>
        <w:rPr>
          <w:rFonts w:ascii="Arial" w:hAnsi="Arial" w:cs="Arial"/>
          <w:color w:val="44546A"/>
          <w:sz w:val="24"/>
          <w:szCs w:val="24"/>
        </w:rPr>
      </w:pPr>
    </w:p>
    <w:tbl>
      <w:tblPr>
        <w:tblW w:w="8928" w:type="dxa"/>
        <w:tblInd w:w="2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7"/>
        <w:gridCol w:w="790"/>
        <w:gridCol w:w="6071"/>
      </w:tblGrid>
      <w:tr w:rsidR="00C23352" w:rsidRPr="00263CB7" w14:paraId="6FC25B81" w14:textId="77777777" w:rsidTr="00452A04">
        <w:tc>
          <w:tcPr>
            <w:tcW w:w="2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CB97D" w14:textId="77777777" w:rsidR="00C23352" w:rsidRPr="00263CB7" w:rsidRDefault="00C23352" w:rsidP="004B07B1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3CB7">
              <w:rPr>
                <w:rFonts w:ascii="Arial" w:hAnsi="Arial" w:cs="Arial"/>
                <w:b/>
                <w:bCs/>
                <w:sz w:val="24"/>
                <w:szCs w:val="24"/>
              </w:rPr>
              <w:t>Complaint Type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4B98A" w14:textId="77777777" w:rsidR="00C23352" w:rsidRPr="00263CB7" w:rsidRDefault="00C23352" w:rsidP="004B07B1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3CB7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6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EC7C3" w14:textId="77777777" w:rsidR="00C23352" w:rsidRPr="00263CB7" w:rsidRDefault="00C23352" w:rsidP="004B07B1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3CB7">
              <w:rPr>
                <w:rFonts w:ascii="Arial" w:hAnsi="Arial" w:cs="Arial"/>
                <w:b/>
                <w:bCs/>
                <w:sz w:val="24"/>
                <w:szCs w:val="24"/>
              </w:rPr>
              <w:t>HSO Response</w:t>
            </w:r>
          </w:p>
        </w:tc>
      </w:tr>
      <w:tr w:rsidR="004F44DD" w:rsidRPr="00263CB7" w14:paraId="29B42872" w14:textId="77777777" w:rsidTr="00452A04">
        <w:tc>
          <w:tcPr>
            <w:tcW w:w="2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14A57" w14:textId="530D4966" w:rsidR="004F44DD" w:rsidRPr="00263CB7" w:rsidRDefault="004F44DD" w:rsidP="004B07B1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 Oversight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DC359" w14:textId="36DAB618" w:rsidR="004F44DD" w:rsidRDefault="004F44DD" w:rsidP="004B07B1">
            <w:pPr>
              <w:spacing w:line="25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BFBB5" w14:textId="758965D8" w:rsidR="004F44DD" w:rsidRDefault="004F44DD" w:rsidP="004B07B1">
            <w:pPr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Both studies were monitored; one of these was referred to IRB-01 Executive Committee for potential noncompliance</w:t>
            </w:r>
          </w:p>
        </w:tc>
      </w:tr>
      <w:tr w:rsidR="00C23352" w:rsidRPr="00263CB7" w14:paraId="1C81CFF2" w14:textId="77777777" w:rsidTr="00452A04">
        <w:tc>
          <w:tcPr>
            <w:tcW w:w="2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D51A3" w14:textId="77777777" w:rsidR="00C23352" w:rsidRPr="00263CB7" w:rsidRDefault="00C23352" w:rsidP="004B07B1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263CB7">
              <w:rPr>
                <w:rFonts w:ascii="Arial" w:hAnsi="Arial" w:cs="Arial"/>
                <w:sz w:val="24"/>
                <w:szCs w:val="24"/>
              </w:rPr>
              <w:t>Recruitment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191BC" w14:textId="382C205F" w:rsidR="00C23352" w:rsidRPr="00263CB7" w:rsidRDefault="004F44DD" w:rsidP="004B07B1">
            <w:pPr>
              <w:spacing w:line="25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0C9FD" w14:textId="4F9BF15A" w:rsidR="00C23352" w:rsidRPr="00263CB7" w:rsidRDefault="004F44DD" w:rsidP="004B07B1">
            <w:pPr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studies were monitored</w:t>
            </w:r>
            <w:r w:rsidR="00314F80">
              <w:rPr>
                <w:rFonts w:ascii="Arial" w:hAnsi="Arial" w:cs="Arial"/>
                <w:sz w:val="24"/>
                <w:szCs w:val="24"/>
              </w:rPr>
              <w:t>, of these, one was referred to IRB-01 Executive Committee</w:t>
            </w:r>
            <w:r>
              <w:rPr>
                <w:rFonts w:ascii="Arial" w:hAnsi="Arial" w:cs="Arial"/>
                <w:sz w:val="24"/>
                <w:szCs w:val="24"/>
              </w:rPr>
              <w:t>; 1 study submitted a modification</w:t>
            </w:r>
          </w:p>
        </w:tc>
      </w:tr>
      <w:tr w:rsidR="00452A04" w:rsidRPr="00263CB7" w14:paraId="6A2D9043" w14:textId="77777777" w:rsidTr="00452A04">
        <w:tc>
          <w:tcPr>
            <w:tcW w:w="2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20351" w14:textId="32E8DFBB" w:rsidR="00452A04" w:rsidRPr="00263CB7" w:rsidRDefault="00452A04" w:rsidP="004B07B1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Procedures</w:t>
            </w:r>
            <w:r w:rsidR="007F092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63FF2" w14:textId="7F99597C" w:rsidR="00452A04" w:rsidRPr="00263CB7" w:rsidRDefault="00452A04" w:rsidP="004B07B1">
            <w:pPr>
              <w:spacing w:line="25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01B21" w14:textId="3C6ADE7F" w:rsidR="00452A04" w:rsidRPr="00263CB7" w:rsidRDefault="004F44DD" w:rsidP="004B07B1">
            <w:pPr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study was monitored and referred to IRB-02 Chair**; 1 study </w:t>
            </w:r>
            <w:r w:rsidR="00BE628D">
              <w:rPr>
                <w:rFonts w:ascii="Arial" w:hAnsi="Arial" w:cs="Arial"/>
                <w:sz w:val="24"/>
                <w:szCs w:val="24"/>
              </w:rPr>
              <w:t>has monitoring pending; 2 studies were resolved by communication with research team</w:t>
            </w:r>
          </w:p>
        </w:tc>
      </w:tr>
    </w:tbl>
    <w:p w14:paraId="6AE2BC72" w14:textId="77777777" w:rsidR="007A5B4B" w:rsidRDefault="007A5B4B" w:rsidP="007F092D">
      <w:pPr>
        <w:spacing w:after="0" w:line="240" w:lineRule="auto"/>
        <w:ind w:left="720"/>
        <w:rPr>
          <w:rFonts w:ascii="Arial" w:hAnsi="Arial" w:cs="Arial"/>
          <w:bCs/>
          <w:sz w:val="24"/>
          <w:szCs w:val="24"/>
        </w:rPr>
      </w:pPr>
    </w:p>
    <w:p w14:paraId="4E24F3CB" w14:textId="3972242E" w:rsidR="007F092D" w:rsidRPr="007F092D" w:rsidRDefault="007F092D" w:rsidP="007F092D">
      <w:pPr>
        <w:spacing w:after="0" w:line="240" w:lineRule="auto"/>
        <w:ind w:left="720"/>
        <w:rPr>
          <w:rFonts w:ascii="Arial" w:hAnsi="Arial" w:cs="Arial"/>
          <w:bCs/>
          <w:sz w:val="24"/>
          <w:szCs w:val="24"/>
        </w:rPr>
      </w:pPr>
      <w:r w:rsidRPr="007F092D">
        <w:rPr>
          <w:rFonts w:ascii="Arial" w:hAnsi="Arial" w:cs="Arial"/>
          <w:bCs/>
          <w:sz w:val="24"/>
          <w:szCs w:val="24"/>
        </w:rPr>
        <w:t>*Examples of procedures included the following:</w:t>
      </w:r>
    </w:p>
    <w:p w14:paraId="0FF59D68" w14:textId="667F53BB" w:rsidR="007F092D" w:rsidRPr="007F092D" w:rsidRDefault="007F092D" w:rsidP="007F092D">
      <w:pPr>
        <w:spacing w:after="0" w:line="240" w:lineRule="auto"/>
        <w:ind w:left="720" w:firstLine="720"/>
        <w:rPr>
          <w:rFonts w:ascii="Arial" w:hAnsi="Arial" w:cs="Arial"/>
          <w:bCs/>
          <w:sz w:val="24"/>
          <w:szCs w:val="24"/>
        </w:rPr>
      </w:pPr>
      <w:r w:rsidRPr="007F092D">
        <w:rPr>
          <w:rFonts w:ascii="Arial" w:hAnsi="Arial" w:cs="Arial"/>
          <w:bCs/>
          <w:sz w:val="24"/>
          <w:szCs w:val="24"/>
        </w:rPr>
        <w:t>Concerns regarding compensation</w:t>
      </w:r>
    </w:p>
    <w:p w14:paraId="3DBC1F59" w14:textId="3780BC84" w:rsidR="007F092D" w:rsidRDefault="007F092D" w:rsidP="007F092D">
      <w:pPr>
        <w:spacing w:after="0" w:line="240" w:lineRule="auto"/>
        <w:ind w:left="720" w:firstLine="720"/>
        <w:rPr>
          <w:rFonts w:ascii="Arial" w:hAnsi="Arial" w:cs="Arial"/>
          <w:bCs/>
          <w:sz w:val="24"/>
          <w:szCs w:val="24"/>
        </w:rPr>
      </w:pPr>
      <w:r w:rsidRPr="007F092D">
        <w:rPr>
          <w:rFonts w:ascii="Arial" w:hAnsi="Arial" w:cs="Arial"/>
          <w:bCs/>
          <w:sz w:val="24"/>
          <w:szCs w:val="24"/>
        </w:rPr>
        <w:t>Concern regarding sharing of data outside of research team</w:t>
      </w:r>
    </w:p>
    <w:p w14:paraId="60CCF2F6" w14:textId="38520F48" w:rsidR="001109CD" w:rsidRDefault="001109CD" w:rsidP="007F092D">
      <w:pPr>
        <w:spacing w:after="0" w:line="240" w:lineRule="auto"/>
        <w:ind w:left="72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Concern regarding study questionnaire</w:t>
      </w:r>
    </w:p>
    <w:p w14:paraId="3952368E" w14:textId="77777777" w:rsidR="00BE628D" w:rsidRDefault="00BE628D" w:rsidP="007F092D">
      <w:pPr>
        <w:spacing w:after="0" w:line="240" w:lineRule="auto"/>
        <w:ind w:left="720" w:firstLine="720"/>
        <w:rPr>
          <w:rFonts w:ascii="Arial" w:hAnsi="Arial" w:cs="Arial"/>
          <w:bCs/>
          <w:sz w:val="24"/>
          <w:szCs w:val="24"/>
        </w:rPr>
      </w:pPr>
    </w:p>
    <w:p w14:paraId="1B948FFA" w14:textId="3F5C5666" w:rsidR="00BE628D" w:rsidRPr="007F092D" w:rsidRDefault="00BE628D" w:rsidP="00BE628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**</w:t>
      </w:r>
      <w:r w:rsidR="00314F80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>tudy had 2 separate complaints</w:t>
      </w:r>
    </w:p>
    <w:p w14:paraId="4FB5ADDC" w14:textId="07DBA55F" w:rsidR="007F092D" w:rsidRDefault="007F092D" w:rsidP="007F092D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</w:p>
    <w:p w14:paraId="1063D5D4" w14:textId="610ECEDA" w:rsidR="007F092D" w:rsidRDefault="007F092D" w:rsidP="007F092D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</w:p>
    <w:p w14:paraId="07174771" w14:textId="2F9D5557" w:rsidR="00C23352" w:rsidRDefault="00C23352" w:rsidP="002D0C86">
      <w:pPr>
        <w:spacing w:after="0"/>
        <w:rPr>
          <w:rFonts w:ascii="Arial" w:hAnsi="Arial" w:cs="Arial"/>
          <w:b/>
          <w:sz w:val="28"/>
          <w:szCs w:val="28"/>
        </w:rPr>
      </w:pPr>
      <w:r w:rsidRPr="00263CB7">
        <w:rPr>
          <w:rFonts w:ascii="Arial" w:hAnsi="Arial" w:cs="Arial"/>
          <w:b/>
          <w:sz w:val="28"/>
          <w:szCs w:val="28"/>
        </w:rPr>
        <w:t>CONCLUSION</w:t>
      </w:r>
    </w:p>
    <w:p w14:paraId="41DFAB6B" w14:textId="77777777" w:rsidR="002D0C86" w:rsidRPr="00263CB7" w:rsidRDefault="002D0C86" w:rsidP="002D0C86">
      <w:pPr>
        <w:spacing w:after="0"/>
        <w:rPr>
          <w:rFonts w:ascii="Arial" w:hAnsi="Arial" w:cs="Arial"/>
          <w:sz w:val="28"/>
          <w:szCs w:val="28"/>
        </w:rPr>
      </w:pPr>
    </w:p>
    <w:p w14:paraId="4D1A6808" w14:textId="4C6423AE" w:rsidR="00951E7E" w:rsidRDefault="00C23352" w:rsidP="007B6CFD">
      <w:pPr>
        <w:spacing w:after="0" w:line="240" w:lineRule="auto"/>
        <w:rPr>
          <w:rFonts w:ascii="Arial" w:hAnsi="Arial" w:cs="Arial"/>
          <w:noProof/>
        </w:rPr>
      </w:pPr>
      <w:r w:rsidRPr="00263CB7">
        <w:rPr>
          <w:rFonts w:ascii="Arial" w:hAnsi="Arial" w:cs="Arial"/>
          <w:sz w:val="24"/>
          <w:szCs w:val="24"/>
        </w:rPr>
        <w:t>The Compliance Program had a successful year in 20</w:t>
      </w:r>
      <w:r w:rsidR="00CA69CA">
        <w:rPr>
          <w:rFonts w:ascii="Arial" w:hAnsi="Arial" w:cs="Arial"/>
          <w:sz w:val="24"/>
          <w:szCs w:val="24"/>
        </w:rPr>
        <w:t>2</w:t>
      </w:r>
      <w:r w:rsidR="007D150D">
        <w:rPr>
          <w:rFonts w:ascii="Arial" w:hAnsi="Arial" w:cs="Arial"/>
          <w:sz w:val="24"/>
          <w:szCs w:val="24"/>
        </w:rPr>
        <w:t>3</w:t>
      </w:r>
      <w:r w:rsidR="007A5B4B">
        <w:rPr>
          <w:rFonts w:ascii="Arial" w:hAnsi="Arial" w:cs="Arial"/>
          <w:sz w:val="24"/>
          <w:szCs w:val="24"/>
        </w:rPr>
        <w:t xml:space="preserve">.  We </w:t>
      </w:r>
      <w:r w:rsidR="007B6CFD">
        <w:rPr>
          <w:rFonts w:ascii="Arial" w:hAnsi="Arial" w:cs="Arial"/>
          <w:sz w:val="24"/>
          <w:szCs w:val="24"/>
        </w:rPr>
        <w:t>nearly doubled the number of monitoring events we completed</w:t>
      </w:r>
      <w:r w:rsidR="00CA69CA">
        <w:rPr>
          <w:rFonts w:ascii="Arial" w:hAnsi="Arial" w:cs="Arial"/>
          <w:sz w:val="24"/>
          <w:szCs w:val="24"/>
        </w:rPr>
        <w:t xml:space="preserve">.  </w:t>
      </w:r>
      <w:r w:rsidR="007B6CFD">
        <w:rPr>
          <w:rFonts w:ascii="Arial" w:hAnsi="Arial" w:cs="Arial"/>
          <w:sz w:val="24"/>
          <w:szCs w:val="24"/>
        </w:rPr>
        <w:t xml:space="preserve">We added a new full-time member to our team, and successfully completed their onboarding and training.  </w:t>
      </w:r>
      <w:r w:rsidR="00CA69CA">
        <w:rPr>
          <w:rFonts w:ascii="Arial" w:hAnsi="Arial" w:cs="Arial"/>
          <w:sz w:val="24"/>
          <w:szCs w:val="24"/>
        </w:rPr>
        <w:t>We accomplished several large-scale projects and participated in numerous professional development activities.  We are looking forward to increasing the number of monitoring events we conduct in 202</w:t>
      </w:r>
      <w:r w:rsidR="007B6CFD">
        <w:rPr>
          <w:rFonts w:ascii="Arial" w:hAnsi="Arial" w:cs="Arial"/>
          <w:sz w:val="24"/>
          <w:szCs w:val="24"/>
        </w:rPr>
        <w:t xml:space="preserve">4, as </w:t>
      </w:r>
      <w:r w:rsidR="00CA69CA">
        <w:rPr>
          <w:rFonts w:ascii="Arial" w:hAnsi="Arial" w:cs="Arial"/>
          <w:sz w:val="24"/>
          <w:szCs w:val="24"/>
        </w:rPr>
        <w:t xml:space="preserve">well as </w:t>
      </w:r>
      <w:r w:rsidR="007B6CFD">
        <w:rPr>
          <w:rFonts w:ascii="Arial" w:hAnsi="Arial" w:cs="Arial"/>
          <w:sz w:val="24"/>
          <w:szCs w:val="24"/>
        </w:rPr>
        <w:t>expanding the scope of the program.</w:t>
      </w:r>
    </w:p>
    <w:sectPr w:rsidR="00951E7E" w:rsidSect="00AF7FFE">
      <w:footerReference w:type="default" r:id="rId10"/>
      <w:footerReference w:type="first" r:id="rId11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944BC" w14:textId="77777777" w:rsidR="006D3149" w:rsidRDefault="006D3149" w:rsidP="0028318B">
      <w:pPr>
        <w:spacing w:after="0" w:line="240" w:lineRule="auto"/>
      </w:pPr>
      <w:r>
        <w:separator/>
      </w:r>
    </w:p>
  </w:endnote>
  <w:endnote w:type="continuationSeparator" w:id="0">
    <w:p w14:paraId="788B2424" w14:textId="77777777" w:rsidR="006D3149" w:rsidRDefault="006D3149" w:rsidP="0028318B">
      <w:pPr>
        <w:spacing w:after="0" w:line="240" w:lineRule="auto"/>
      </w:pPr>
      <w:r>
        <w:continuationSeparator/>
      </w:r>
    </w:p>
  </w:endnote>
  <w:endnote w:type="continuationNotice" w:id="1">
    <w:p w14:paraId="6735A9DD" w14:textId="77777777" w:rsidR="006D3149" w:rsidRDefault="006D31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onio">
    <w:panose1 w:val="02000303000000000000"/>
    <w:charset w:val="00"/>
    <w:family w:val="auto"/>
    <w:pitch w:val="variable"/>
    <w:sig w:usb0="A00000EF" w:usb1="5000204B" w:usb2="00000000" w:usb3="00000000" w:csb0="00000093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single" w:sz="4" w:space="0" w:color="FECE07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he University of Iowa Institutional Review Board and Human Subjects Office"/>
    </w:tblPr>
    <w:tblGrid>
      <w:gridCol w:w="5395"/>
      <w:gridCol w:w="5395"/>
    </w:tblGrid>
    <w:tr w:rsidR="00FF3FB5" w:rsidRPr="00FF3FB5" w14:paraId="7821F58F" w14:textId="77777777" w:rsidTr="00AF7FFE">
      <w:tc>
        <w:tcPr>
          <w:tcW w:w="5395" w:type="dxa"/>
          <w:shd w:val="clear" w:color="auto" w:fill="auto"/>
          <w:vAlign w:val="center"/>
        </w:tcPr>
        <w:p w14:paraId="2A232CD4" w14:textId="5F7A48EC" w:rsidR="00FF3FB5" w:rsidRPr="00FF3FB5" w:rsidRDefault="00FF3FB5" w:rsidP="00FF3FB5">
          <w:pPr>
            <w:pStyle w:val="Footer"/>
            <w:rPr>
              <w:rFonts w:ascii="Roboto" w:hAnsi="Roboto"/>
            </w:rPr>
          </w:pPr>
          <w:r w:rsidRPr="00FF3FB5">
            <w:rPr>
              <w:rFonts w:ascii="Roboto" w:hAnsi="Roboto"/>
              <w:noProof/>
            </w:rPr>
            <w:drawing>
              <wp:inline distT="0" distB="0" distL="0" distR="0" wp14:anchorId="714C7DB1" wp14:editId="731EE42B">
                <wp:extent cx="924128" cy="462064"/>
                <wp:effectExtent l="0" t="0" r="0" b="0"/>
                <wp:docPr id="10" name="Picture 10" descr="The University of Iow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 descr="The University of Iow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9908" cy="4849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5" w:type="dxa"/>
          <w:shd w:val="clear" w:color="auto" w:fill="auto"/>
          <w:vAlign w:val="center"/>
        </w:tcPr>
        <w:p w14:paraId="48438F76" w14:textId="77777777" w:rsidR="00FF3FB5" w:rsidRPr="00FF3FB5" w:rsidRDefault="00FF3FB5" w:rsidP="00FF3FB5">
          <w:pPr>
            <w:pStyle w:val="Footer"/>
            <w:jc w:val="right"/>
            <w:rPr>
              <w:rFonts w:ascii="Roboto" w:hAnsi="Roboto"/>
            </w:rPr>
          </w:pPr>
          <w:r w:rsidRPr="00FF3FB5">
            <w:rPr>
              <w:rFonts w:ascii="Roboto" w:hAnsi="Roboto"/>
            </w:rPr>
            <w:t>Institutional Review Board</w:t>
          </w:r>
        </w:p>
        <w:p w14:paraId="227B8820" w14:textId="4705E589" w:rsidR="00FF3FB5" w:rsidRPr="00FF3FB5" w:rsidRDefault="00FF3FB5" w:rsidP="00FF3FB5">
          <w:pPr>
            <w:pStyle w:val="Footer"/>
            <w:jc w:val="right"/>
            <w:rPr>
              <w:rFonts w:ascii="Roboto" w:hAnsi="Roboto"/>
            </w:rPr>
          </w:pPr>
          <w:r w:rsidRPr="00FF3FB5">
            <w:rPr>
              <w:rFonts w:ascii="Roboto" w:hAnsi="Roboto"/>
            </w:rPr>
            <w:t>and Human Subjects Office</w:t>
          </w:r>
        </w:p>
      </w:tc>
    </w:tr>
  </w:tbl>
  <w:p w14:paraId="68FBE96C" w14:textId="3862C2D8" w:rsidR="00FF3FB5" w:rsidRPr="005A086C" w:rsidRDefault="00FF3FB5" w:rsidP="00FF3FB5">
    <w:pPr>
      <w:pStyle w:val="Footer"/>
      <w:jc w:val="right"/>
      <w:rPr>
        <w:rFonts w:ascii="Roboto" w:hAnsi="Roboto"/>
        <w:sz w:val="20"/>
        <w:szCs w:val="20"/>
      </w:rPr>
    </w:pPr>
    <w:r w:rsidRPr="005A086C">
      <w:rPr>
        <w:rFonts w:ascii="Roboto" w:hAnsi="Roboto"/>
        <w:noProof/>
        <w:sz w:val="20"/>
        <w:szCs w:val="20"/>
      </w:rPr>
      <w:t xml:space="preserve">Version </w:t>
    </w:r>
    <w:r w:rsidR="007D1E72">
      <w:rPr>
        <w:rFonts w:ascii="Roboto" w:hAnsi="Roboto"/>
        <w:noProof/>
        <w:sz w:val="20"/>
        <w:szCs w:val="20"/>
      </w:rPr>
      <w:t>#</w:t>
    </w:r>
    <w:r w:rsidR="00364CB5">
      <w:rPr>
        <w:rFonts w:ascii="Roboto" w:hAnsi="Roboto"/>
        <w:noProof/>
        <w:sz w:val="20"/>
        <w:szCs w:val="20"/>
      </w:rPr>
      <w:t>1</w:t>
    </w:r>
    <w:r w:rsidRPr="005A086C">
      <w:rPr>
        <w:rFonts w:ascii="Roboto" w:hAnsi="Roboto"/>
        <w:noProof/>
        <w:sz w:val="20"/>
        <w:szCs w:val="20"/>
      </w:rPr>
      <w:t xml:space="preserve"> </w:t>
    </w:r>
    <w:r w:rsidR="00142404">
      <w:rPr>
        <w:rFonts w:ascii="Roboto" w:hAnsi="Roboto"/>
        <w:noProof/>
        <w:sz w:val="20"/>
        <w:szCs w:val="20"/>
      </w:rPr>
      <w:t>January 30, 2024</w:t>
    </w:r>
  </w:p>
  <w:p w14:paraId="644A25C4" w14:textId="77777777" w:rsidR="00FF3FB5" w:rsidRPr="00FF3FB5" w:rsidRDefault="00FF3FB5">
    <w:pPr>
      <w:pStyle w:val="Footer"/>
      <w:jc w:val="center"/>
      <w:rPr>
        <w:rFonts w:ascii="Roboto" w:hAnsi="Roboto"/>
      </w:rPr>
    </w:pPr>
  </w:p>
  <w:sdt>
    <w:sdtPr>
      <w:rPr>
        <w:rFonts w:ascii="Roboto" w:hAnsi="Roboto"/>
      </w:rPr>
      <w:id w:val="720402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FD9033" w14:textId="42D9C478" w:rsidR="007B7772" w:rsidRPr="00FF3FB5" w:rsidRDefault="007B7772">
        <w:pPr>
          <w:pStyle w:val="Footer"/>
          <w:jc w:val="center"/>
          <w:rPr>
            <w:rFonts w:ascii="Roboto" w:hAnsi="Roboto"/>
          </w:rPr>
        </w:pPr>
        <w:r w:rsidRPr="00FF3FB5">
          <w:rPr>
            <w:rFonts w:ascii="Roboto" w:hAnsi="Roboto"/>
          </w:rPr>
          <w:fldChar w:fldCharType="begin"/>
        </w:r>
        <w:r w:rsidRPr="00FF3FB5">
          <w:rPr>
            <w:rFonts w:ascii="Roboto" w:hAnsi="Roboto"/>
          </w:rPr>
          <w:instrText xml:space="preserve"> PAGE   \* MERGEFORMAT </w:instrText>
        </w:r>
        <w:r w:rsidRPr="00FF3FB5">
          <w:rPr>
            <w:rFonts w:ascii="Roboto" w:hAnsi="Roboto"/>
          </w:rPr>
          <w:fldChar w:fldCharType="separate"/>
        </w:r>
        <w:r w:rsidRPr="00FF3FB5">
          <w:rPr>
            <w:rFonts w:ascii="Roboto" w:hAnsi="Roboto"/>
            <w:noProof/>
          </w:rPr>
          <w:t>2</w:t>
        </w:r>
        <w:r w:rsidRPr="00FF3FB5">
          <w:rPr>
            <w:rFonts w:ascii="Roboto" w:hAnsi="Roboto"/>
            <w:noProof/>
          </w:rPr>
          <w:fldChar w:fldCharType="end"/>
        </w:r>
      </w:p>
    </w:sdtContent>
  </w:sdt>
  <w:p w14:paraId="21A49A82" w14:textId="77777777" w:rsidR="0028318B" w:rsidRPr="00FF3FB5" w:rsidRDefault="0028318B">
    <w:pPr>
      <w:pStyle w:val="Footer"/>
      <w:rPr>
        <w:rFonts w:ascii="Roboto" w:hAnsi="Robot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2632B" w14:textId="0FB79BC8" w:rsidR="007B7772" w:rsidRDefault="007B7772">
    <w:pPr>
      <w:pStyle w:val="Footer"/>
    </w:pPr>
    <w:r>
      <w:tab/>
    </w:r>
    <w:r>
      <w:tab/>
      <w:t xml:space="preserve">                  Version 1 08/18/2020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B23C9" w14:textId="77777777" w:rsidR="006D3149" w:rsidRDefault="006D3149" w:rsidP="0028318B">
      <w:pPr>
        <w:spacing w:after="0" w:line="240" w:lineRule="auto"/>
      </w:pPr>
      <w:r>
        <w:separator/>
      </w:r>
    </w:p>
  </w:footnote>
  <w:footnote w:type="continuationSeparator" w:id="0">
    <w:p w14:paraId="5B7BA953" w14:textId="77777777" w:rsidR="006D3149" w:rsidRDefault="006D3149" w:rsidP="0028318B">
      <w:pPr>
        <w:spacing w:after="0" w:line="240" w:lineRule="auto"/>
      </w:pPr>
      <w:r>
        <w:continuationSeparator/>
      </w:r>
    </w:p>
  </w:footnote>
  <w:footnote w:type="continuationNotice" w:id="1">
    <w:p w14:paraId="6AFB391B" w14:textId="77777777" w:rsidR="006D3149" w:rsidRDefault="006D314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7110E"/>
    <w:multiLevelType w:val="hybridMultilevel"/>
    <w:tmpl w:val="D3DE6890"/>
    <w:lvl w:ilvl="0" w:tplc="DEA03DE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945074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FCD"/>
    <w:rsid w:val="000014FD"/>
    <w:rsid w:val="00001EBC"/>
    <w:rsid w:val="00004D83"/>
    <w:rsid w:val="00006FB8"/>
    <w:rsid w:val="00013523"/>
    <w:rsid w:val="00013ED8"/>
    <w:rsid w:val="00014FA5"/>
    <w:rsid w:val="00017C72"/>
    <w:rsid w:val="000204FF"/>
    <w:rsid w:val="00020940"/>
    <w:rsid w:val="000218A2"/>
    <w:rsid w:val="000268B3"/>
    <w:rsid w:val="00027A49"/>
    <w:rsid w:val="00032BC1"/>
    <w:rsid w:val="000331D2"/>
    <w:rsid w:val="00035D6A"/>
    <w:rsid w:val="00035FD3"/>
    <w:rsid w:val="00037848"/>
    <w:rsid w:val="000442AE"/>
    <w:rsid w:val="000476CD"/>
    <w:rsid w:val="00047A7A"/>
    <w:rsid w:val="00054250"/>
    <w:rsid w:val="00055937"/>
    <w:rsid w:val="00056F0E"/>
    <w:rsid w:val="000618B5"/>
    <w:rsid w:val="000631EE"/>
    <w:rsid w:val="000648AB"/>
    <w:rsid w:val="00065809"/>
    <w:rsid w:val="00065BD7"/>
    <w:rsid w:val="00072FF4"/>
    <w:rsid w:val="00073281"/>
    <w:rsid w:val="00074F27"/>
    <w:rsid w:val="00080035"/>
    <w:rsid w:val="00083B7B"/>
    <w:rsid w:val="00094D0C"/>
    <w:rsid w:val="00094E88"/>
    <w:rsid w:val="000950E7"/>
    <w:rsid w:val="00097C91"/>
    <w:rsid w:val="000A2A35"/>
    <w:rsid w:val="000B0B83"/>
    <w:rsid w:val="000B2544"/>
    <w:rsid w:val="000B6624"/>
    <w:rsid w:val="000C2C68"/>
    <w:rsid w:val="000C301B"/>
    <w:rsid w:val="000C60F7"/>
    <w:rsid w:val="000C64A9"/>
    <w:rsid w:val="000C70BF"/>
    <w:rsid w:val="000C7D65"/>
    <w:rsid w:val="000D088D"/>
    <w:rsid w:val="000D6970"/>
    <w:rsid w:val="000E0152"/>
    <w:rsid w:val="000E109D"/>
    <w:rsid w:val="000E3B47"/>
    <w:rsid w:val="000F1229"/>
    <w:rsid w:val="000F237C"/>
    <w:rsid w:val="000F247B"/>
    <w:rsid w:val="000F2B48"/>
    <w:rsid w:val="000F32E4"/>
    <w:rsid w:val="000F3534"/>
    <w:rsid w:val="00100367"/>
    <w:rsid w:val="00102470"/>
    <w:rsid w:val="00105238"/>
    <w:rsid w:val="00105961"/>
    <w:rsid w:val="00107099"/>
    <w:rsid w:val="00107992"/>
    <w:rsid w:val="001109CD"/>
    <w:rsid w:val="00110B1D"/>
    <w:rsid w:val="00113DA4"/>
    <w:rsid w:val="00115804"/>
    <w:rsid w:val="001159A0"/>
    <w:rsid w:val="00116E14"/>
    <w:rsid w:val="0012216E"/>
    <w:rsid w:val="00124ED9"/>
    <w:rsid w:val="00126F1F"/>
    <w:rsid w:val="001305DD"/>
    <w:rsid w:val="00134CD8"/>
    <w:rsid w:val="001376B0"/>
    <w:rsid w:val="00137C7D"/>
    <w:rsid w:val="001422EF"/>
    <w:rsid w:val="00142404"/>
    <w:rsid w:val="00143311"/>
    <w:rsid w:val="00143D21"/>
    <w:rsid w:val="001453F0"/>
    <w:rsid w:val="00151D99"/>
    <w:rsid w:val="00153D64"/>
    <w:rsid w:val="0016117B"/>
    <w:rsid w:val="00163059"/>
    <w:rsid w:val="00163346"/>
    <w:rsid w:val="00167074"/>
    <w:rsid w:val="00170B80"/>
    <w:rsid w:val="00171F2C"/>
    <w:rsid w:val="001734FD"/>
    <w:rsid w:val="001751D2"/>
    <w:rsid w:val="00181EE2"/>
    <w:rsid w:val="00182019"/>
    <w:rsid w:val="00184746"/>
    <w:rsid w:val="00184CFC"/>
    <w:rsid w:val="00192BD1"/>
    <w:rsid w:val="00195176"/>
    <w:rsid w:val="001A13B9"/>
    <w:rsid w:val="001A4505"/>
    <w:rsid w:val="001A4A2F"/>
    <w:rsid w:val="001A6E37"/>
    <w:rsid w:val="001B0FC5"/>
    <w:rsid w:val="001B2FE0"/>
    <w:rsid w:val="001B3CCD"/>
    <w:rsid w:val="001C3F48"/>
    <w:rsid w:val="001C6FC5"/>
    <w:rsid w:val="001C7E8F"/>
    <w:rsid w:val="001D3847"/>
    <w:rsid w:val="001D6E9B"/>
    <w:rsid w:val="001E2FCD"/>
    <w:rsid w:val="001E3B2D"/>
    <w:rsid w:val="001E3C9C"/>
    <w:rsid w:val="001E5800"/>
    <w:rsid w:val="001E6F72"/>
    <w:rsid w:val="001F03A1"/>
    <w:rsid w:val="001F0B0F"/>
    <w:rsid w:val="001F2448"/>
    <w:rsid w:val="001F449C"/>
    <w:rsid w:val="001F4658"/>
    <w:rsid w:val="001F4AF7"/>
    <w:rsid w:val="001F6F8A"/>
    <w:rsid w:val="0020110D"/>
    <w:rsid w:val="002022EB"/>
    <w:rsid w:val="00202679"/>
    <w:rsid w:val="00202A46"/>
    <w:rsid w:val="002050DE"/>
    <w:rsid w:val="00206860"/>
    <w:rsid w:val="00206B7C"/>
    <w:rsid w:val="002072A5"/>
    <w:rsid w:val="00207735"/>
    <w:rsid w:val="00211340"/>
    <w:rsid w:val="00216C03"/>
    <w:rsid w:val="00217EE4"/>
    <w:rsid w:val="00220219"/>
    <w:rsid w:val="002207AF"/>
    <w:rsid w:val="00221369"/>
    <w:rsid w:val="00234A67"/>
    <w:rsid w:val="00235F29"/>
    <w:rsid w:val="0023603D"/>
    <w:rsid w:val="002376F5"/>
    <w:rsid w:val="00246453"/>
    <w:rsid w:val="00246635"/>
    <w:rsid w:val="00246F48"/>
    <w:rsid w:val="00247AFF"/>
    <w:rsid w:val="002502ED"/>
    <w:rsid w:val="00251928"/>
    <w:rsid w:val="00253EBA"/>
    <w:rsid w:val="00255AC7"/>
    <w:rsid w:val="002574DD"/>
    <w:rsid w:val="002611A4"/>
    <w:rsid w:val="00263CB7"/>
    <w:rsid w:val="00263D21"/>
    <w:rsid w:val="00266D07"/>
    <w:rsid w:val="00274066"/>
    <w:rsid w:val="00277186"/>
    <w:rsid w:val="002779B0"/>
    <w:rsid w:val="00282632"/>
    <w:rsid w:val="0028318B"/>
    <w:rsid w:val="002850C4"/>
    <w:rsid w:val="00287205"/>
    <w:rsid w:val="00290E21"/>
    <w:rsid w:val="0029402D"/>
    <w:rsid w:val="00295BC0"/>
    <w:rsid w:val="0029649C"/>
    <w:rsid w:val="0029758D"/>
    <w:rsid w:val="002A2982"/>
    <w:rsid w:val="002A40D8"/>
    <w:rsid w:val="002A450F"/>
    <w:rsid w:val="002A5A9A"/>
    <w:rsid w:val="002B0191"/>
    <w:rsid w:val="002B0686"/>
    <w:rsid w:val="002B0E5B"/>
    <w:rsid w:val="002B2515"/>
    <w:rsid w:val="002B3E52"/>
    <w:rsid w:val="002B5AD5"/>
    <w:rsid w:val="002B67E7"/>
    <w:rsid w:val="002B7987"/>
    <w:rsid w:val="002C175D"/>
    <w:rsid w:val="002C2A90"/>
    <w:rsid w:val="002C304F"/>
    <w:rsid w:val="002C5344"/>
    <w:rsid w:val="002C5F00"/>
    <w:rsid w:val="002C642E"/>
    <w:rsid w:val="002D05AD"/>
    <w:rsid w:val="002D0B45"/>
    <w:rsid w:val="002D0C86"/>
    <w:rsid w:val="002D2284"/>
    <w:rsid w:val="002D4C38"/>
    <w:rsid w:val="002D5C8A"/>
    <w:rsid w:val="002D648F"/>
    <w:rsid w:val="002E04B4"/>
    <w:rsid w:val="002E2E6E"/>
    <w:rsid w:val="002E3418"/>
    <w:rsid w:val="002E4190"/>
    <w:rsid w:val="002E500D"/>
    <w:rsid w:val="002E5393"/>
    <w:rsid w:val="002E682E"/>
    <w:rsid w:val="002F22A4"/>
    <w:rsid w:val="002F3015"/>
    <w:rsid w:val="002F4CB1"/>
    <w:rsid w:val="00302AAB"/>
    <w:rsid w:val="0030382A"/>
    <w:rsid w:val="00304896"/>
    <w:rsid w:val="0030588A"/>
    <w:rsid w:val="00312B6F"/>
    <w:rsid w:val="00313950"/>
    <w:rsid w:val="00314F80"/>
    <w:rsid w:val="00316451"/>
    <w:rsid w:val="00322874"/>
    <w:rsid w:val="00322D88"/>
    <w:rsid w:val="00323E20"/>
    <w:rsid w:val="00325507"/>
    <w:rsid w:val="00325D13"/>
    <w:rsid w:val="003265B6"/>
    <w:rsid w:val="00330BB7"/>
    <w:rsid w:val="00332DD4"/>
    <w:rsid w:val="003339D3"/>
    <w:rsid w:val="00333C88"/>
    <w:rsid w:val="00344F46"/>
    <w:rsid w:val="003528BB"/>
    <w:rsid w:val="00352D43"/>
    <w:rsid w:val="003568D0"/>
    <w:rsid w:val="003577A2"/>
    <w:rsid w:val="00364CB5"/>
    <w:rsid w:val="0037002F"/>
    <w:rsid w:val="00376915"/>
    <w:rsid w:val="00380162"/>
    <w:rsid w:val="00383E98"/>
    <w:rsid w:val="003845D0"/>
    <w:rsid w:val="00384D8E"/>
    <w:rsid w:val="00386FB8"/>
    <w:rsid w:val="003A154F"/>
    <w:rsid w:val="003A2E22"/>
    <w:rsid w:val="003A4833"/>
    <w:rsid w:val="003A6BB6"/>
    <w:rsid w:val="003A7FE0"/>
    <w:rsid w:val="003B083D"/>
    <w:rsid w:val="003B511A"/>
    <w:rsid w:val="003B6EFC"/>
    <w:rsid w:val="003C0764"/>
    <w:rsid w:val="003C1ACF"/>
    <w:rsid w:val="003C25B7"/>
    <w:rsid w:val="003C4201"/>
    <w:rsid w:val="003C43FF"/>
    <w:rsid w:val="003C6658"/>
    <w:rsid w:val="003C6920"/>
    <w:rsid w:val="003C7BF7"/>
    <w:rsid w:val="003D5602"/>
    <w:rsid w:val="003E3244"/>
    <w:rsid w:val="003E39A3"/>
    <w:rsid w:val="003E75C1"/>
    <w:rsid w:val="003F0BB6"/>
    <w:rsid w:val="003F1DFA"/>
    <w:rsid w:val="003F2A51"/>
    <w:rsid w:val="003F3519"/>
    <w:rsid w:val="003F6C70"/>
    <w:rsid w:val="00400BC1"/>
    <w:rsid w:val="00402DC0"/>
    <w:rsid w:val="004033F6"/>
    <w:rsid w:val="004036F8"/>
    <w:rsid w:val="00403939"/>
    <w:rsid w:val="00403C7A"/>
    <w:rsid w:val="004067D4"/>
    <w:rsid w:val="00407E7B"/>
    <w:rsid w:val="00407ED4"/>
    <w:rsid w:val="00412DA4"/>
    <w:rsid w:val="00412E3F"/>
    <w:rsid w:val="0041427A"/>
    <w:rsid w:val="004157CC"/>
    <w:rsid w:val="00416FF0"/>
    <w:rsid w:val="0042035F"/>
    <w:rsid w:val="00422377"/>
    <w:rsid w:val="0042248A"/>
    <w:rsid w:val="00434D5D"/>
    <w:rsid w:val="00434DF6"/>
    <w:rsid w:val="00437BC3"/>
    <w:rsid w:val="00441D51"/>
    <w:rsid w:val="004424BD"/>
    <w:rsid w:val="00452A04"/>
    <w:rsid w:val="00453E1B"/>
    <w:rsid w:val="00461C24"/>
    <w:rsid w:val="00470CF4"/>
    <w:rsid w:val="00471775"/>
    <w:rsid w:val="00471D69"/>
    <w:rsid w:val="00481680"/>
    <w:rsid w:val="004816AE"/>
    <w:rsid w:val="00483363"/>
    <w:rsid w:val="004837B6"/>
    <w:rsid w:val="00484710"/>
    <w:rsid w:val="00487511"/>
    <w:rsid w:val="00487BDB"/>
    <w:rsid w:val="00487E42"/>
    <w:rsid w:val="00490421"/>
    <w:rsid w:val="00490D86"/>
    <w:rsid w:val="00492D58"/>
    <w:rsid w:val="00493151"/>
    <w:rsid w:val="004A0A2B"/>
    <w:rsid w:val="004A2E45"/>
    <w:rsid w:val="004A4038"/>
    <w:rsid w:val="004A615A"/>
    <w:rsid w:val="004A6227"/>
    <w:rsid w:val="004B1D13"/>
    <w:rsid w:val="004B2028"/>
    <w:rsid w:val="004B7B80"/>
    <w:rsid w:val="004C126B"/>
    <w:rsid w:val="004C15AB"/>
    <w:rsid w:val="004C3F76"/>
    <w:rsid w:val="004C41A6"/>
    <w:rsid w:val="004C4426"/>
    <w:rsid w:val="004C7C1F"/>
    <w:rsid w:val="004C7DEE"/>
    <w:rsid w:val="004D11D7"/>
    <w:rsid w:val="004D127C"/>
    <w:rsid w:val="004D60F1"/>
    <w:rsid w:val="004E044C"/>
    <w:rsid w:val="004E09FA"/>
    <w:rsid w:val="004E1A83"/>
    <w:rsid w:val="004E26F3"/>
    <w:rsid w:val="004F0C90"/>
    <w:rsid w:val="004F1FCD"/>
    <w:rsid w:val="004F44DD"/>
    <w:rsid w:val="004F6628"/>
    <w:rsid w:val="00500744"/>
    <w:rsid w:val="0050667D"/>
    <w:rsid w:val="005112EE"/>
    <w:rsid w:val="00515930"/>
    <w:rsid w:val="0051646F"/>
    <w:rsid w:val="0052083F"/>
    <w:rsid w:val="00520D77"/>
    <w:rsid w:val="00522BDA"/>
    <w:rsid w:val="005261CF"/>
    <w:rsid w:val="005264B9"/>
    <w:rsid w:val="0053331A"/>
    <w:rsid w:val="00533F8A"/>
    <w:rsid w:val="005366A5"/>
    <w:rsid w:val="00536A0E"/>
    <w:rsid w:val="00540932"/>
    <w:rsid w:val="005515F8"/>
    <w:rsid w:val="005603CF"/>
    <w:rsid w:val="005611F0"/>
    <w:rsid w:val="00564502"/>
    <w:rsid w:val="00564FE9"/>
    <w:rsid w:val="00565205"/>
    <w:rsid w:val="00565C0A"/>
    <w:rsid w:val="00566B86"/>
    <w:rsid w:val="00581D20"/>
    <w:rsid w:val="00582687"/>
    <w:rsid w:val="005905C1"/>
    <w:rsid w:val="00590724"/>
    <w:rsid w:val="00591914"/>
    <w:rsid w:val="005919A9"/>
    <w:rsid w:val="00592901"/>
    <w:rsid w:val="0059340E"/>
    <w:rsid w:val="005A086C"/>
    <w:rsid w:val="005A4757"/>
    <w:rsid w:val="005B1F3F"/>
    <w:rsid w:val="005B1F75"/>
    <w:rsid w:val="005B6814"/>
    <w:rsid w:val="005C189F"/>
    <w:rsid w:val="005C2AAE"/>
    <w:rsid w:val="005C6B09"/>
    <w:rsid w:val="005C6E84"/>
    <w:rsid w:val="005D07C9"/>
    <w:rsid w:val="005D3994"/>
    <w:rsid w:val="005D749E"/>
    <w:rsid w:val="005D7B04"/>
    <w:rsid w:val="005E210F"/>
    <w:rsid w:val="005E2EA8"/>
    <w:rsid w:val="005E77E1"/>
    <w:rsid w:val="005F3C58"/>
    <w:rsid w:val="005F5A02"/>
    <w:rsid w:val="00601481"/>
    <w:rsid w:val="00603FD4"/>
    <w:rsid w:val="006073EB"/>
    <w:rsid w:val="006079D8"/>
    <w:rsid w:val="00610FA8"/>
    <w:rsid w:val="006129E9"/>
    <w:rsid w:val="006134F2"/>
    <w:rsid w:val="0061394A"/>
    <w:rsid w:val="0061497B"/>
    <w:rsid w:val="00615BBD"/>
    <w:rsid w:val="0062056C"/>
    <w:rsid w:val="006208A3"/>
    <w:rsid w:val="006222F5"/>
    <w:rsid w:val="00622EC3"/>
    <w:rsid w:val="006234D5"/>
    <w:rsid w:val="006306ED"/>
    <w:rsid w:val="006331A7"/>
    <w:rsid w:val="00634348"/>
    <w:rsid w:val="00634D0A"/>
    <w:rsid w:val="006368DB"/>
    <w:rsid w:val="006408E3"/>
    <w:rsid w:val="00642869"/>
    <w:rsid w:val="006466DA"/>
    <w:rsid w:val="006502A3"/>
    <w:rsid w:val="006533EB"/>
    <w:rsid w:val="0065423F"/>
    <w:rsid w:val="00655289"/>
    <w:rsid w:val="0065621E"/>
    <w:rsid w:val="006639E7"/>
    <w:rsid w:val="0066492A"/>
    <w:rsid w:val="00665798"/>
    <w:rsid w:val="00667768"/>
    <w:rsid w:val="00674787"/>
    <w:rsid w:val="006750DE"/>
    <w:rsid w:val="00680307"/>
    <w:rsid w:val="0068228F"/>
    <w:rsid w:val="006827E1"/>
    <w:rsid w:val="00690300"/>
    <w:rsid w:val="0069470F"/>
    <w:rsid w:val="00695449"/>
    <w:rsid w:val="00695D04"/>
    <w:rsid w:val="00695E37"/>
    <w:rsid w:val="00695EE5"/>
    <w:rsid w:val="006A0AAC"/>
    <w:rsid w:val="006A0AB3"/>
    <w:rsid w:val="006A4AB9"/>
    <w:rsid w:val="006A5845"/>
    <w:rsid w:val="006A5D81"/>
    <w:rsid w:val="006A770A"/>
    <w:rsid w:val="006B1EE3"/>
    <w:rsid w:val="006B269D"/>
    <w:rsid w:val="006B3D46"/>
    <w:rsid w:val="006B698F"/>
    <w:rsid w:val="006C248B"/>
    <w:rsid w:val="006C3D24"/>
    <w:rsid w:val="006C7863"/>
    <w:rsid w:val="006D132D"/>
    <w:rsid w:val="006D1577"/>
    <w:rsid w:val="006D3149"/>
    <w:rsid w:val="006D53C6"/>
    <w:rsid w:val="006E17AA"/>
    <w:rsid w:val="006E44E6"/>
    <w:rsid w:val="006E799A"/>
    <w:rsid w:val="006E79F4"/>
    <w:rsid w:val="006F599D"/>
    <w:rsid w:val="007038B2"/>
    <w:rsid w:val="007048A5"/>
    <w:rsid w:val="00705D3D"/>
    <w:rsid w:val="00705DE2"/>
    <w:rsid w:val="00706057"/>
    <w:rsid w:val="007067AE"/>
    <w:rsid w:val="00707449"/>
    <w:rsid w:val="00710213"/>
    <w:rsid w:val="007102E5"/>
    <w:rsid w:val="00712285"/>
    <w:rsid w:val="007158EC"/>
    <w:rsid w:val="00720A0E"/>
    <w:rsid w:val="0072174C"/>
    <w:rsid w:val="007226BE"/>
    <w:rsid w:val="0072358F"/>
    <w:rsid w:val="00723B89"/>
    <w:rsid w:val="0072500A"/>
    <w:rsid w:val="00727417"/>
    <w:rsid w:val="0073077B"/>
    <w:rsid w:val="00731BE7"/>
    <w:rsid w:val="007324F9"/>
    <w:rsid w:val="00733A64"/>
    <w:rsid w:val="007435D3"/>
    <w:rsid w:val="00744A28"/>
    <w:rsid w:val="00746D86"/>
    <w:rsid w:val="007506CB"/>
    <w:rsid w:val="00754100"/>
    <w:rsid w:val="007545AE"/>
    <w:rsid w:val="007545ED"/>
    <w:rsid w:val="00756505"/>
    <w:rsid w:val="00756EBD"/>
    <w:rsid w:val="00760C7D"/>
    <w:rsid w:val="007631C8"/>
    <w:rsid w:val="00770001"/>
    <w:rsid w:val="0077189A"/>
    <w:rsid w:val="00781C25"/>
    <w:rsid w:val="00782D2B"/>
    <w:rsid w:val="007842A1"/>
    <w:rsid w:val="007913FB"/>
    <w:rsid w:val="007973CE"/>
    <w:rsid w:val="00797844"/>
    <w:rsid w:val="00797E1F"/>
    <w:rsid w:val="007A1A2F"/>
    <w:rsid w:val="007A3C86"/>
    <w:rsid w:val="007A3E03"/>
    <w:rsid w:val="007A422B"/>
    <w:rsid w:val="007A46E5"/>
    <w:rsid w:val="007A5B4B"/>
    <w:rsid w:val="007A6366"/>
    <w:rsid w:val="007A6678"/>
    <w:rsid w:val="007B0340"/>
    <w:rsid w:val="007B0CF8"/>
    <w:rsid w:val="007B6CFD"/>
    <w:rsid w:val="007B7772"/>
    <w:rsid w:val="007C00E8"/>
    <w:rsid w:val="007C0160"/>
    <w:rsid w:val="007C4394"/>
    <w:rsid w:val="007C4F82"/>
    <w:rsid w:val="007D150D"/>
    <w:rsid w:val="007D1E72"/>
    <w:rsid w:val="007D1F37"/>
    <w:rsid w:val="007D3B4F"/>
    <w:rsid w:val="007D45C3"/>
    <w:rsid w:val="007D5C89"/>
    <w:rsid w:val="007E17AD"/>
    <w:rsid w:val="007F05C8"/>
    <w:rsid w:val="007F092D"/>
    <w:rsid w:val="007F1200"/>
    <w:rsid w:val="008007F9"/>
    <w:rsid w:val="00800DC2"/>
    <w:rsid w:val="008012EF"/>
    <w:rsid w:val="00807873"/>
    <w:rsid w:val="00807BD1"/>
    <w:rsid w:val="00812458"/>
    <w:rsid w:val="0081250E"/>
    <w:rsid w:val="00814182"/>
    <w:rsid w:val="008161C0"/>
    <w:rsid w:val="0081624B"/>
    <w:rsid w:val="00817F87"/>
    <w:rsid w:val="008225FD"/>
    <w:rsid w:val="00822919"/>
    <w:rsid w:val="0083100A"/>
    <w:rsid w:val="0083477E"/>
    <w:rsid w:val="00836410"/>
    <w:rsid w:val="00836AE1"/>
    <w:rsid w:val="00837C10"/>
    <w:rsid w:val="00841148"/>
    <w:rsid w:val="00850933"/>
    <w:rsid w:val="00852B8B"/>
    <w:rsid w:val="00853AC5"/>
    <w:rsid w:val="00854855"/>
    <w:rsid w:val="0085544E"/>
    <w:rsid w:val="00855EE0"/>
    <w:rsid w:val="00861716"/>
    <w:rsid w:val="00863A45"/>
    <w:rsid w:val="0086740A"/>
    <w:rsid w:val="008679E4"/>
    <w:rsid w:val="00867BBF"/>
    <w:rsid w:val="00867D92"/>
    <w:rsid w:val="00870F02"/>
    <w:rsid w:val="00871110"/>
    <w:rsid w:val="008725A8"/>
    <w:rsid w:val="00873378"/>
    <w:rsid w:val="00873ABE"/>
    <w:rsid w:val="00874721"/>
    <w:rsid w:val="00875D32"/>
    <w:rsid w:val="00877A0A"/>
    <w:rsid w:val="008818CC"/>
    <w:rsid w:val="0088301E"/>
    <w:rsid w:val="00886366"/>
    <w:rsid w:val="00886ABF"/>
    <w:rsid w:val="00892485"/>
    <w:rsid w:val="00893E18"/>
    <w:rsid w:val="00893E27"/>
    <w:rsid w:val="00895F12"/>
    <w:rsid w:val="008A0ACE"/>
    <w:rsid w:val="008A0B58"/>
    <w:rsid w:val="008A2AC2"/>
    <w:rsid w:val="008A3DF9"/>
    <w:rsid w:val="008A7D88"/>
    <w:rsid w:val="008C3058"/>
    <w:rsid w:val="008C73B5"/>
    <w:rsid w:val="008C79A6"/>
    <w:rsid w:val="008C7F90"/>
    <w:rsid w:val="008D1235"/>
    <w:rsid w:val="008D7C42"/>
    <w:rsid w:val="008E7B2B"/>
    <w:rsid w:val="008F0789"/>
    <w:rsid w:val="008F18C2"/>
    <w:rsid w:val="008F249B"/>
    <w:rsid w:val="008F34E0"/>
    <w:rsid w:val="008F5B6F"/>
    <w:rsid w:val="008F73F3"/>
    <w:rsid w:val="009016CF"/>
    <w:rsid w:val="0090377E"/>
    <w:rsid w:val="009144E6"/>
    <w:rsid w:val="00917C10"/>
    <w:rsid w:val="00920173"/>
    <w:rsid w:val="00920437"/>
    <w:rsid w:val="009224DC"/>
    <w:rsid w:val="00931C25"/>
    <w:rsid w:val="00934DE4"/>
    <w:rsid w:val="0094084C"/>
    <w:rsid w:val="00941AE9"/>
    <w:rsid w:val="00941B0A"/>
    <w:rsid w:val="00944643"/>
    <w:rsid w:val="00950703"/>
    <w:rsid w:val="00951E7E"/>
    <w:rsid w:val="00957E7E"/>
    <w:rsid w:val="009618D8"/>
    <w:rsid w:val="00962187"/>
    <w:rsid w:val="009626D6"/>
    <w:rsid w:val="009627B7"/>
    <w:rsid w:val="0096305F"/>
    <w:rsid w:val="00963410"/>
    <w:rsid w:val="0096500F"/>
    <w:rsid w:val="009740AC"/>
    <w:rsid w:val="0097623D"/>
    <w:rsid w:val="00976AC3"/>
    <w:rsid w:val="009778BE"/>
    <w:rsid w:val="00980981"/>
    <w:rsid w:val="0098119B"/>
    <w:rsid w:val="00983C2D"/>
    <w:rsid w:val="009843CF"/>
    <w:rsid w:val="00984949"/>
    <w:rsid w:val="0098668F"/>
    <w:rsid w:val="009922B8"/>
    <w:rsid w:val="0099274F"/>
    <w:rsid w:val="009978A4"/>
    <w:rsid w:val="00997CF0"/>
    <w:rsid w:val="009A02B8"/>
    <w:rsid w:val="009A20E3"/>
    <w:rsid w:val="009A21FC"/>
    <w:rsid w:val="009B2787"/>
    <w:rsid w:val="009B4C42"/>
    <w:rsid w:val="009B56A1"/>
    <w:rsid w:val="009B6942"/>
    <w:rsid w:val="009C0247"/>
    <w:rsid w:val="009C047A"/>
    <w:rsid w:val="009C2E39"/>
    <w:rsid w:val="009C6A59"/>
    <w:rsid w:val="009D25F5"/>
    <w:rsid w:val="009E2CF2"/>
    <w:rsid w:val="009E471F"/>
    <w:rsid w:val="009F37D4"/>
    <w:rsid w:val="009F7B84"/>
    <w:rsid w:val="00A020C9"/>
    <w:rsid w:val="00A03A0D"/>
    <w:rsid w:val="00A11EE5"/>
    <w:rsid w:val="00A136F5"/>
    <w:rsid w:val="00A16537"/>
    <w:rsid w:val="00A21CFC"/>
    <w:rsid w:val="00A2451E"/>
    <w:rsid w:val="00A24958"/>
    <w:rsid w:val="00A271D6"/>
    <w:rsid w:val="00A3257C"/>
    <w:rsid w:val="00A326E9"/>
    <w:rsid w:val="00A36D1B"/>
    <w:rsid w:val="00A427BE"/>
    <w:rsid w:val="00A439ED"/>
    <w:rsid w:val="00A50690"/>
    <w:rsid w:val="00A531B4"/>
    <w:rsid w:val="00A54E26"/>
    <w:rsid w:val="00A55308"/>
    <w:rsid w:val="00A55A2A"/>
    <w:rsid w:val="00A5626E"/>
    <w:rsid w:val="00A57F8B"/>
    <w:rsid w:val="00A60E04"/>
    <w:rsid w:val="00A61518"/>
    <w:rsid w:val="00A61E4B"/>
    <w:rsid w:val="00A62AF3"/>
    <w:rsid w:val="00A62B33"/>
    <w:rsid w:val="00A63E71"/>
    <w:rsid w:val="00A6570F"/>
    <w:rsid w:val="00A6574C"/>
    <w:rsid w:val="00A67F74"/>
    <w:rsid w:val="00A70042"/>
    <w:rsid w:val="00A7172B"/>
    <w:rsid w:val="00A72D60"/>
    <w:rsid w:val="00A74869"/>
    <w:rsid w:val="00A755C7"/>
    <w:rsid w:val="00A757DF"/>
    <w:rsid w:val="00A841D4"/>
    <w:rsid w:val="00A85547"/>
    <w:rsid w:val="00A866A6"/>
    <w:rsid w:val="00A90A8F"/>
    <w:rsid w:val="00A9682B"/>
    <w:rsid w:val="00AA195C"/>
    <w:rsid w:val="00AA5ED7"/>
    <w:rsid w:val="00AA71E1"/>
    <w:rsid w:val="00AB0705"/>
    <w:rsid w:val="00AB1D77"/>
    <w:rsid w:val="00AB2FFC"/>
    <w:rsid w:val="00AB78CC"/>
    <w:rsid w:val="00AB7DF2"/>
    <w:rsid w:val="00AC26E8"/>
    <w:rsid w:val="00AC4C68"/>
    <w:rsid w:val="00AC6C51"/>
    <w:rsid w:val="00AD1BA1"/>
    <w:rsid w:val="00AD77EF"/>
    <w:rsid w:val="00AD7AB2"/>
    <w:rsid w:val="00AE15D4"/>
    <w:rsid w:val="00AE5EAA"/>
    <w:rsid w:val="00AE685D"/>
    <w:rsid w:val="00AF7FFE"/>
    <w:rsid w:val="00B0162E"/>
    <w:rsid w:val="00B02C0B"/>
    <w:rsid w:val="00B11992"/>
    <w:rsid w:val="00B206BC"/>
    <w:rsid w:val="00B2320C"/>
    <w:rsid w:val="00B23E11"/>
    <w:rsid w:val="00B26B0E"/>
    <w:rsid w:val="00B27552"/>
    <w:rsid w:val="00B3070E"/>
    <w:rsid w:val="00B32425"/>
    <w:rsid w:val="00B3262B"/>
    <w:rsid w:val="00B327D2"/>
    <w:rsid w:val="00B3350D"/>
    <w:rsid w:val="00B34DF7"/>
    <w:rsid w:val="00B36641"/>
    <w:rsid w:val="00B37FD0"/>
    <w:rsid w:val="00B403B2"/>
    <w:rsid w:val="00B4119D"/>
    <w:rsid w:val="00B419BB"/>
    <w:rsid w:val="00B460BB"/>
    <w:rsid w:val="00B464B4"/>
    <w:rsid w:val="00B465C4"/>
    <w:rsid w:val="00B46940"/>
    <w:rsid w:val="00B5020F"/>
    <w:rsid w:val="00B57BC9"/>
    <w:rsid w:val="00B62B85"/>
    <w:rsid w:val="00B64B33"/>
    <w:rsid w:val="00B64EB9"/>
    <w:rsid w:val="00B64FD9"/>
    <w:rsid w:val="00B7501F"/>
    <w:rsid w:val="00B754C1"/>
    <w:rsid w:val="00B76919"/>
    <w:rsid w:val="00B76F43"/>
    <w:rsid w:val="00B825D2"/>
    <w:rsid w:val="00B834C9"/>
    <w:rsid w:val="00B92312"/>
    <w:rsid w:val="00B92991"/>
    <w:rsid w:val="00BA0986"/>
    <w:rsid w:val="00BA18D6"/>
    <w:rsid w:val="00BA1C4B"/>
    <w:rsid w:val="00BA387B"/>
    <w:rsid w:val="00BA4E63"/>
    <w:rsid w:val="00BA7E13"/>
    <w:rsid w:val="00BA7E4D"/>
    <w:rsid w:val="00BB03C4"/>
    <w:rsid w:val="00BB16C2"/>
    <w:rsid w:val="00BB194E"/>
    <w:rsid w:val="00BB2FF4"/>
    <w:rsid w:val="00BC6C21"/>
    <w:rsid w:val="00BD26DA"/>
    <w:rsid w:val="00BD65B3"/>
    <w:rsid w:val="00BD691E"/>
    <w:rsid w:val="00BD6B40"/>
    <w:rsid w:val="00BD787E"/>
    <w:rsid w:val="00BE04D0"/>
    <w:rsid w:val="00BE06A8"/>
    <w:rsid w:val="00BE221B"/>
    <w:rsid w:val="00BE3B41"/>
    <w:rsid w:val="00BE516B"/>
    <w:rsid w:val="00BE5CA4"/>
    <w:rsid w:val="00BE628D"/>
    <w:rsid w:val="00BE647A"/>
    <w:rsid w:val="00BF4F61"/>
    <w:rsid w:val="00BF505E"/>
    <w:rsid w:val="00BF57BA"/>
    <w:rsid w:val="00BF59F3"/>
    <w:rsid w:val="00C004EA"/>
    <w:rsid w:val="00C006FB"/>
    <w:rsid w:val="00C038FB"/>
    <w:rsid w:val="00C11183"/>
    <w:rsid w:val="00C146D8"/>
    <w:rsid w:val="00C2007E"/>
    <w:rsid w:val="00C21824"/>
    <w:rsid w:val="00C23352"/>
    <w:rsid w:val="00C27858"/>
    <w:rsid w:val="00C31734"/>
    <w:rsid w:val="00C33D87"/>
    <w:rsid w:val="00C34A67"/>
    <w:rsid w:val="00C43987"/>
    <w:rsid w:val="00C44C8E"/>
    <w:rsid w:val="00C45584"/>
    <w:rsid w:val="00C5111A"/>
    <w:rsid w:val="00C526EF"/>
    <w:rsid w:val="00C52AA2"/>
    <w:rsid w:val="00C52B9A"/>
    <w:rsid w:val="00C52DF2"/>
    <w:rsid w:val="00C53C49"/>
    <w:rsid w:val="00C641F5"/>
    <w:rsid w:val="00C66A5E"/>
    <w:rsid w:val="00C70E8E"/>
    <w:rsid w:val="00C75DC9"/>
    <w:rsid w:val="00C80F8B"/>
    <w:rsid w:val="00C818C3"/>
    <w:rsid w:val="00C836B7"/>
    <w:rsid w:val="00C8468F"/>
    <w:rsid w:val="00C87A87"/>
    <w:rsid w:val="00C92102"/>
    <w:rsid w:val="00C97A1F"/>
    <w:rsid w:val="00CA1147"/>
    <w:rsid w:val="00CA2AEF"/>
    <w:rsid w:val="00CA49C9"/>
    <w:rsid w:val="00CA4F0E"/>
    <w:rsid w:val="00CA69CA"/>
    <w:rsid w:val="00CA6CA9"/>
    <w:rsid w:val="00CA7A3C"/>
    <w:rsid w:val="00CB4612"/>
    <w:rsid w:val="00CB58A9"/>
    <w:rsid w:val="00CB64E7"/>
    <w:rsid w:val="00CB728D"/>
    <w:rsid w:val="00CB7F33"/>
    <w:rsid w:val="00CC20EB"/>
    <w:rsid w:val="00CC477C"/>
    <w:rsid w:val="00CC4FC3"/>
    <w:rsid w:val="00CC5EB1"/>
    <w:rsid w:val="00CC725D"/>
    <w:rsid w:val="00CD1CD3"/>
    <w:rsid w:val="00CD3415"/>
    <w:rsid w:val="00CD3A7B"/>
    <w:rsid w:val="00CD7963"/>
    <w:rsid w:val="00CD7C85"/>
    <w:rsid w:val="00CE3186"/>
    <w:rsid w:val="00CE3AE2"/>
    <w:rsid w:val="00CF1C04"/>
    <w:rsid w:val="00CF26AE"/>
    <w:rsid w:val="00D00691"/>
    <w:rsid w:val="00D02040"/>
    <w:rsid w:val="00D06CB8"/>
    <w:rsid w:val="00D0702C"/>
    <w:rsid w:val="00D0729F"/>
    <w:rsid w:val="00D13719"/>
    <w:rsid w:val="00D171A5"/>
    <w:rsid w:val="00D208F9"/>
    <w:rsid w:val="00D20936"/>
    <w:rsid w:val="00D21251"/>
    <w:rsid w:val="00D221B4"/>
    <w:rsid w:val="00D223FC"/>
    <w:rsid w:val="00D26A63"/>
    <w:rsid w:val="00D26E20"/>
    <w:rsid w:val="00D26E65"/>
    <w:rsid w:val="00D26E6E"/>
    <w:rsid w:val="00D32362"/>
    <w:rsid w:val="00D34726"/>
    <w:rsid w:val="00D347DD"/>
    <w:rsid w:val="00D34BB2"/>
    <w:rsid w:val="00D36BF0"/>
    <w:rsid w:val="00D40D0D"/>
    <w:rsid w:val="00D4296A"/>
    <w:rsid w:val="00D46FBB"/>
    <w:rsid w:val="00D47F16"/>
    <w:rsid w:val="00D505AB"/>
    <w:rsid w:val="00D53593"/>
    <w:rsid w:val="00D56A57"/>
    <w:rsid w:val="00D60B86"/>
    <w:rsid w:val="00D60E4F"/>
    <w:rsid w:val="00D62CA6"/>
    <w:rsid w:val="00D65B84"/>
    <w:rsid w:val="00D665F6"/>
    <w:rsid w:val="00D66D0C"/>
    <w:rsid w:val="00D70BD0"/>
    <w:rsid w:val="00D728C4"/>
    <w:rsid w:val="00D734FA"/>
    <w:rsid w:val="00D8431C"/>
    <w:rsid w:val="00D861CB"/>
    <w:rsid w:val="00D87332"/>
    <w:rsid w:val="00D87F02"/>
    <w:rsid w:val="00D904BC"/>
    <w:rsid w:val="00D92922"/>
    <w:rsid w:val="00D934FE"/>
    <w:rsid w:val="00D96CD9"/>
    <w:rsid w:val="00DA0530"/>
    <w:rsid w:val="00DA08EB"/>
    <w:rsid w:val="00DA0B40"/>
    <w:rsid w:val="00DA2BC7"/>
    <w:rsid w:val="00DA7CA3"/>
    <w:rsid w:val="00DB04CA"/>
    <w:rsid w:val="00DB2661"/>
    <w:rsid w:val="00DB2B23"/>
    <w:rsid w:val="00DB4988"/>
    <w:rsid w:val="00DB5E35"/>
    <w:rsid w:val="00DC0C18"/>
    <w:rsid w:val="00DD0786"/>
    <w:rsid w:val="00DD24D7"/>
    <w:rsid w:val="00DD5CE3"/>
    <w:rsid w:val="00DE051B"/>
    <w:rsid w:val="00DE1313"/>
    <w:rsid w:val="00DE1B47"/>
    <w:rsid w:val="00DE3206"/>
    <w:rsid w:val="00DE53F0"/>
    <w:rsid w:val="00DF0311"/>
    <w:rsid w:val="00DF145D"/>
    <w:rsid w:val="00DF27CF"/>
    <w:rsid w:val="00DF6F09"/>
    <w:rsid w:val="00E015EB"/>
    <w:rsid w:val="00E02E73"/>
    <w:rsid w:val="00E0397E"/>
    <w:rsid w:val="00E04079"/>
    <w:rsid w:val="00E12BDC"/>
    <w:rsid w:val="00E139D9"/>
    <w:rsid w:val="00E1517B"/>
    <w:rsid w:val="00E2105B"/>
    <w:rsid w:val="00E22197"/>
    <w:rsid w:val="00E232BD"/>
    <w:rsid w:val="00E244A0"/>
    <w:rsid w:val="00E2486A"/>
    <w:rsid w:val="00E26DD7"/>
    <w:rsid w:val="00E27541"/>
    <w:rsid w:val="00E304B8"/>
    <w:rsid w:val="00E37480"/>
    <w:rsid w:val="00E37AF3"/>
    <w:rsid w:val="00E403D0"/>
    <w:rsid w:val="00E43FD8"/>
    <w:rsid w:val="00E44962"/>
    <w:rsid w:val="00E456C2"/>
    <w:rsid w:val="00E46E7F"/>
    <w:rsid w:val="00E522C8"/>
    <w:rsid w:val="00E52B1A"/>
    <w:rsid w:val="00E5346C"/>
    <w:rsid w:val="00E538CB"/>
    <w:rsid w:val="00E54472"/>
    <w:rsid w:val="00E546A3"/>
    <w:rsid w:val="00E555CB"/>
    <w:rsid w:val="00E7592A"/>
    <w:rsid w:val="00E76BFB"/>
    <w:rsid w:val="00E830D0"/>
    <w:rsid w:val="00E8480A"/>
    <w:rsid w:val="00E85AC1"/>
    <w:rsid w:val="00E86840"/>
    <w:rsid w:val="00E90A1D"/>
    <w:rsid w:val="00E91310"/>
    <w:rsid w:val="00E94A81"/>
    <w:rsid w:val="00EA5E52"/>
    <w:rsid w:val="00EA6ECC"/>
    <w:rsid w:val="00EA7700"/>
    <w:rsid w:val="00EB07F1"/>
    <w:rsid w:val="00EB094F"/>
    <w:rsid w:val="00EB6A40"/>
    <w:rsid w:val="00EB73CE"/>
    <w:rsid w:val="00EC2C5F"/>
    <w:rsid w:val="00EC30E4"/>
    <w:rsid w:val="00EC4682"/>
    <w:rsid w:val="00EC4728"/>
    <w:rsid w:val="00ED02E1"/>
    <w:rsid w:val="00ED09F8"/>
    <w:rsid w:val="00ED1BAA"/>
    <w:rsid w:val="00ED1BDD"/>
    <w:rsid w:val="00ED2A1D"/>
    <w:rsid w:val="00ED48B6"/>
    <w:rsid w:val="00ED5EB4"/>
    <w:rsid w:val="00EE0B73"/>
    <w:rsid w:val="00EE22AF"/>
    <w:rsid w:val="00EE4C0A"/>
    <w:rsid w:val="00EE688B"/>
    <w:rsid w:val="00EF3F16"/>
    <w:rsid w:val="00EF418C"/>
    <w:rsid w:val="00EF4A7B"/>
    <w:rsid w:val="00EF5FD0"/>
    <w:rsid w:val="00EF6821"/>
    <w:rsid w:val="00F0216B"/>
    <w:rsid w:val="00F035F6"/>
    <w:rsid w:val="00F04179"/>
    <w:rsid w:val="00F04A18"/>
    <w:rsid w:val="00F04AFD"/>
    <w:rsid w:val="00F06589"/>
    <w:rsid w:val="00F07536"/>
    <w:rsid w:val="00F11250"/>
    <w:rsid w:val="00F119F0"/>
    <w:rsid w:val="00F12C59"/>
    <w:rsid w:val="00F16912"/>
    <w:rsid w:val="00F1704F"/>
    <w:rsid w:val="00F22A9A"/>
    <w:rsid w:val="00F24EFB"/>
    <w:rsid w:val="00F258B8"/>
    <w:rsid w:val="00F27290"/>
    <w:rsid w:val="00F27851"/>
    <w:rsid w:val="00F3078D"/>
    <w:rsid w:val="00F3357F"/>
    <w:rsid w:val="00F346FA"/>
    <w:rsid w:val="00F36179"/>
    <w:rsid w:val="00F4427F"/>
    <w:rsid w:val="00F458A9"/>
    <w:rsid w:val="00F463F5"/>
    <w:rsid w:val="00F53DD9"/>
    <w:rsid w:val="00F55141"/>
    <w:rsid w:val="00F57B91"/>
    <w:rsid w:val="00F643EF"/>
    <w:rsid w:val="00F670EF"/>
    <w:rsid w:val="00F7412B"/>
    <w:rsid w:val="00F81629"/>
    <w:rsid w:val="00F82AA8"/>
    <w:rsid w:val="00F82AE7"/>
    <w:rsid w:val="00F8301C"/>
    <w:rsid w:val="00F84FEB"/>
    <w:rsid w:val="00F85CEF"/>
    <w:rsid w:val="00F92160"/>
    <w:rsid w:val="00F94901"/>
    <w:rsid w:val="00FA2516"/>
    <w:rsid w:val="00FA53CC"/>
    <w:rsid w:val="00FA663A"/>
    <w:rsid w:val="00FA795E"/>
    <w:rsid w:val="00FB288B"/>
    <w:rsid w:val="00FB5AAD"/>
    <w:rsid w:val="00FC045E"/>
    <w:rsid w:val="00FC271C"/>
    <w:rsid w:val="00FC5619"/>
    <w:rsid w:val="00FC6153"/>
    <w:rsid w:val="00FD12D4"/>
    <w:rsid w:val="00FD205B"/>
    <w:rsid w:val="00FD47ED"/>
    <w:rsid w:val="00FD68BE"/>
    <w:rsid w:val="00FD7593"/>
    <w:rsid w:val="00FE3B81"/>
    <w:rsid w:val="00FE51F5"/>
    <w:rsid w:val="00FE585A"/>
    <w:rsid w:val="00FE735B"/>
    <w:rsid w:val="00FF3FB5"/>
    <w:rsid w:val="00FF464D"/>
    <w:rsid w:val="00FF58FC"/>
    <w:rsid w:val="00F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F4900"/>
  <w15:chartTrackingRefBased/>
  <w15:docId w15:val="{58504600-D1AF-429E-AAE4-17307064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FCD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A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08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24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7B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D11D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734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34F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734F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D7AB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AB2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D7AB2"/>
    <w:rPr>
      <w:rFonts w:eastAsiaTheme="minorEastAsia"/>
      <w:color w:val="5A5A5A" w:themeColor="text1" w:themeTint="A5"/>
      <w:spacing w:val="15"/>
    </w:rPr>
  </w:style>
  <w:style w:type="character" w:styleId="CommentReference">
    <w:name w:val="annotation reference"/>
    <w:basedOn w:val="DefaultParagraphFont"/>
    <w:semiHidden/>
    <w:unhideWhenUsed/>
    <w:rsid w:val="00BD691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D6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D691E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D6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D691E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BD6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D691E"/>
    <w:rPr>
      <w:rFonts w:ascii="Segoe UI" w:eastAsiaTheme="minorEastAsia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453F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208F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9248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aragraph">
    <w:name w:val="paragraph"/>
    <w:basedOn w:val="Normal"/>
    <w:rsid w:val="00551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515F8"/>
  </w:style>
  <w:style w:type="character" w:customStyle="1" w:styleId="eop">
    <w:name w:val="eop"/>
    <w:basedOn w:val="DefaultParagraphFont"/>
    <w:rsid w:val="005515F8"/>
  </w:style>
  <w:style w:type="character" w:customStyle="1" w:styleId="Heading4Char">
    <w:name w:val="Heading 4 Char"/>
    <w:basedOn w:val="DefaultParagraphFont"/>
    <w:link w:val="Heading4"/>
    <w:uiPriority w:val="9"/>
    <w:rsid w:val="005D7B0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Revision">
    <w:name w:val="Revision"/>
    <w:hidden/>
    <w:uiPriority w:val="99"/>
    <w:semiHidden/>
    <w:rsid w:val="00DD24D7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nhideWhenUsed/>
    <w:rsid w:val="002831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8318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831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18B"/>
    <w:rPr>
      <w:rFonts w:eastAsiaTheme="minorEastAsia"/>
    </w:rPr>
  </w:style>
  <w:style w:type="character" w:customStyle="1" w:styleId="Heading5Char">
    <w:name w:val="Heading 5 Char"/>
    <w:basedOn w:val="DefaultParagraphFont"/>
    <w:link w:val="Heading5"/>
    <w:uiPriority w:val="9"/>
    <w:rsid w:val="004D11D7"/>
    <w:rPr>
      <w:rFonts w:asciiTheme="majorHAnsi" w:eastAsiaTheme="majorEastAsia" w:hAnsiTheme="majorHAnsi" w:cstheme="majorBidi"/>
      <w:color w:val="2E74B5" w:themeColor="accent1" w:themeShade="BF"/>
    </w:rPr>
  </w:style>
  <w:style w:type="table" w:styleId="GridTable4-Accent1">
    <w:name w:val="Grid Table 4 Accent 1"/>
    <w:basedOn w:val="TableNormal"/>
    <w:uiPriority w:val="49"/>
    <w:rsid w:val="00153D6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Default">
    <w:name w:val="Default"/>
    <w:rsid w:val="00ED5E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12B6F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4427F"/>
    <w:pPr>
      <w:spacing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FF3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C2335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2335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C23352"/>
    <w:rPr>
      <w:vertAlign w:val="superscript"/>
    </w:rPr>
  </w:style>
  <w:style w:type="character" w:customStyle="1" w:styleId="apple-converted-space">
    <w:name w:val="apple-converted-space"/>
    <w:basedOn w:val="DefaultParagraphFont"/>
    <w:rsid w:val="00C23352"/>
  </w:style>
  <w:style w:type="character" w:styleId="Strong">
    <w:name w:val="Strong"/>
    <w:basedOn w:val="DefaultParagraphFont"/>
    <w:uiPriority w:val="22"/>
    <w:qFormat/>
    <w:rsid w:val="00C23352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C2335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1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fruehli\Desktop\2023%20Annual%20Report\Monitoring%20Findings%20Report%201-30-24.xls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Total Monitoring Events By Year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6.7025371828521432E-2"/>
          <c:y val="0.19486111111111112"/>
          <c:w val="0.88853018372703407"/>
          <c:h val="0.72088764946048411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Number of Events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153</c:v>
                </c:pt>
                <c:pt idx="1">
                  <c:v>62</c:v>
                </c:pt>
                <c:pt idx="2">
                  <c:v>39</c:v>
                </c:pt>
                <c:pt idx="3">
                  <c:v>53</c:v>
                </c:pt>
                <c:pt idx="4">
                  <c:v>102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D0B-41E9-B73F-A4EC2F744A72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539399519"/>
        <c:axId val="1540089407"/>
      </c:lineChart>
      <c:catAx>
        <c:axId val="15393995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40089407"/>
        <c:crosses val="autoZero"/>
        <c:auto val="1"/>
        <c:lblAlgn val="ctr"/>
        <c:lblOffset val="100"/>
        <c:noMultiLvlLbl val="0"/>
      </c:catAx>
      <c:valAx>
        <c:axId val="15400894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3939951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Monitoring</a:t>
            </a:r>
            <a:r>
              <a:rPr lang="en-US" baseline="0"/>
              <a:t> Findings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Sheet3!$B$1</c:f>
              <c:strCache>
                <c:ptCount val="1"/>
                <c:pt idx="0">
                  <c:v>Number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Sheet3!$A$2:$A$19</c:f>
              <c:strCache>
                <c:ptCount val="1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VII.A</c:v>
                </c:pt>
                <c:pt idx="7">
                  <c:v>VII.B</c:v>
                </c:pt>
                <c:pt idx="8">
                  <c:v>VII.C</c:v>
                </c:pt>
                <c:pt idx="9">
                  <c:v>VII.D</c:v>
                </c:pt>
                <c:pt idx="10">
                  <c:v>VII.E</c:v>
                </c:pt>
                <c:pt idx="11">
                  <c:v>VIII</c:v>
                </c:pt>
                <c:pt idx="12">
                  <c:v>IX</c:v>
                </c:pt>
                <c:pt idx="13">
                  <c:v>X</c:v>
                </c:pt>
                <c:pt idx="14">
                  <c:v>XI</c:v>
                </c:pt>
                <c:pt idx="15">
                  <c:v>XII</c:v>
                </c:pt>
                <c:pt idx="16">
                  <c:v>ROC</c:v>
                </c:pt>
                <c:pt idx="17">
                  <c:v>Other</c:v>
                </c:pt>
              </c:strCache>
            </c:strRef>
          </c:cat>
          <c:val>
            <c:numRef>
              <c:f>Sheet3!$B$2:$B$19</c:f>
              <c:numCache>
                <c:formatCode>General</c:formatCode>
                <c:ptCount val="18"/>
                <c:pt idx="0">
                  <c:v>2</c:v>
                </c:pt>
                <c:pt idx="1">
                  <c:v>9</c:v>
                </c:pt>
                <c:pt idx="2">
                  <c:v>4</c:v>
                </c:pt>
                <c:pt idx="3">
                  <c:v>1</c:v>
                </c:pt>
                <c:pt idx="4">
                  <c:v>9</c:v>
                </c:pt>
                <c:pt idx="5">
                  <c:v>0</c:v>
                </c:pt>
                <c:pt idx="6">
                  <c:v>12</c:v>
                </c:pt>
                <c:pt idx="7">
                  <c:v>4</c:v>
                </c:pt>
                <c:pt idx="8">
                  <c:v>1</c:v>
                </c:pt>
                <c:pt idx="9">
                  <c:v>18</c:v>
                </c:pt>
                <c:pt idx="10">
                  <c:v>4</c:v>
                </c:pt>
                <c:pt idx="11">
                  <c:v>0</c:v>
                </c:pt>
                <c:pt idx="12">
                  <c:v>2</c:v>
                </c:pt>
                <c:pt idx="13">
                  <c:v>6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2F-4688-95A2-5AFA1E087E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27782607"/>
        <c:axId val="2111839567"/>
      </c:barChart>
      <c:catAx>
        <c:axId val="13277826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11839567"/>
        <c:crosses val="autoZero"/>
        <c:auto val="1"/>
        <c:lblAlgn val="ctr"/>
        <c:lblOffset val="100"/>
        <c:noMultiLvlLbl val="0"/>
      </c:catAx>
      <c:valAx>
        <c:axId val="21118395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2778260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B8B11-1DBE-4660-B6E7-A406606F2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1586</Words>
  <Characters>9041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University of Iowa</Company>
  <LinksUpToDate>false</LinksUpToDate>
  <CharactersWithSpaces>10606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Katopol, Patricia F</dc:creator>
  <cp:keywords/>
  <dc:description/>
  <cp:lastModifiedBy>Fruehling, Catherine</cp:lastModifiedBy>
  <cp:revision>6</cp:revision>
  <dcterms:created xsi:type="dcterms:W3CDTF">2024-01-30T22:34:00Z</dcterms:created>
  <dcterms:modified xsi:type="dcterms:W3CDTF">2024-02-21T20:59:00Z</dcterms:modified>
</cp:coreProperties>
</file>